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90" w:rsidRPr="004E60BB" w:rsidRDefault="00AE5F90" w:rsidP="00FE0118">
      <w:pPr>
        <w:rPr>
          <w:rFonts w:ascii="Times New Roman" w:hAnsi="Times New Roman"/>
          <w:sz w:val="22"/>
          <w:szCs w:val="22"/>
        </w:rPr>
      </w:pPr>
      <w:bookmarkStart w:id="0" w:name="_GoBack"/>
      <w:bookmarkEnd w:id="0"/>
      <w:r w:rsidRPr="004E60BB">
        <w:rPr>
          <w:rFonts w:ascii="Times New Roman" w:hAnsi="Times New Roman"/>
          <w:b/>
          <w:sz w:val="22"/>
          <w:szCs w:val="22"/>
        </w:rPr>
        <w:t>PURPOSE</w:t>
      </w:r>
    </w:p>
    <w:p w:rsidR="00FE0118" w:rsidRDefault="00FE0118" w:rsidP="005012D5">
      <w:pPr>
        <w:rPr>
          <w:rFonts w:ascii="Times New Roman" w:hAnsi="Times New Roman"/>
          <w:color w:val="000000"/>
        </w:rPr>
      </w:pPr>
    </w:p>
    <w:p w:rsidR="009A280F" w:rsidRDefault="00BD4A27" w:rsidP="005012D5">
      <w:pPr>
        <w:rPr>
          <w:rFonts w:ascii="Times New Roman" w:hAnsi="Times New Roman"/>
          <w:color w:val="000000"/>
        </w:rPr>
      </w:pPr>
      <w:r>
        <w:rPr>
          <w:rFonts w:ascii="Times New Roman" w:hAnsi="Times New Roman"/>
          <w:color w:val="000000"/>
        </w:rPr>
        <w:t>T</w:t>
      </w:r>
      <w:r w:rsidR="009A280F" w:rsidRPr="009D4693">
        <w:rPr>
          <w:rFonts w:ascii="Times New Roman" w:hAnsi="Times New Roman"/>
          <w:color w:val="000000"/>
        </w:rPr>
        <w:t>his policy provide</w:t>
      </w:r>
      <w:r>
        <w:rPr>
          <w:rFonts w:ascii="Times New Roman" w:hAnsi="Times New Roman"/>
          <w:color w:val="000000"/>
        </w:rPr>
        <w:t>s</w:t>
      </w:r>
      <w:r w:rsidR="009A280F" w:rsidRPr="009D4693">
        <w:rPr>
          <w:rFonts w:ascii="Times New Roman" w:hAnsi="Times New Roman"/>
          <w:color w:val="000000"/>
        </w:rPr>
        <w:t xml:space="preserve"> guidelines for </w:t>
      </w:r>
      <w:r w:rsidR="008973C2">
        <w:rPr>
          <w:rFonts w:ascii="Times New Roman" w:hAnsi="Times New Roman"/>
          <w:color w:val="000000"/>
        </w:rPr>
        <w:t>counting and valuing yearend inventory</w:t>
      </w:r>
      <w:r w:rsidR="00510720">
        <w:rPr>
          <w:rFonts w:ascii="Times New Roman" w:hAnsi="Times New Roman"/>
          <w:color w:val="000000"/>
        </w:rPr>
        <w:t>.</w:t>
      </w:r>
      <w:r w:rsidR="00DD1769" w:rsidDel="00DD1769">
        <w:rPr>
          <w:rFonts w:ascii="Times New Roman" w:hAnsi="Times New Roman"/>
          <w:color w:val="000000"/>
        </w:rPr>
        <w:t xml:space="preserve"> </w:t>
      </w:r>
    </w:p>
    <w:p w:rsidR="00FE0118" w:rsidRDefault="00FE0118" w:rsidP="00FE0118">
      <w:pPr>
        <w:rPr>
          <w:rFonts w:ascii="Times New Roman" w:hAnsi="Times New Roman"/>
          <w:sz w:val="22"/>
          <w:szCs w:val="22"/>
        </w:rPr>
      </w:pPr>
    </w:p>
    <w:p w:rsidR="00EF1DCF" w:rsidRPr="00494AFE" w:rsidRDefault="00EF1DCF" w:rsidP="00EF1DCF">
      <w:pPr>
        <w:ind w:left="720" w:hanging="720"/>
        <w:rPr>
          <w:rFonts w:ascii="Times New Roman" w:hAnsi="Times New Roman"/>
          <w:b/>
          <w:sz w:val="22"/>
          <w:szCs w:val="22"/>
        </w:rPr>
      </w:pPr>
      <w:r w:rsidRPr="00494AFE">
        <w:rPr>
          <w:rFonts w:ascii="Times New Roman" w:hAnsi="Times New Roman"/>
          <w:b/>
          <w:sz w:val="22"/>
          <w:szCs w:val="22"/>
        </w:rPr>
        <w:t>SCOPE</w:t>
      </w:r>
    </w:p>
    <w:p w:rsidR="00EF1DCF" w:rsidRDefault="00EF1DCF" w:rsidP="00EF1DCF">
      <w:pPr>
        <w:ind w:left="720" w:hanging="720"/>
        <w:rPr>
          <w:rFonts w:ascii="Times New Roman" w:hAnsi="Times New Roman"/>
          <w:sz w:val="22"/>
          <w:szCs w:val="22"/>
        </w:rPr>
      </w:pPr>
    </w:p>
    <w:p w:rsidR="00EF1DCF" w:rsidRPr="00B22579" w:rsidRDefault="00EF1DCF" w:rsidP="00EF1DCF">
      <w:pPr>
        <w:rPr>
          <w:rFonts w:ascii="Times New Roman" w:hAnsi="Times New Roman"/>
          <w:szCs w:val="24"/>
        </w:rPr>
      </w:pPr>
      <w:r w:rsidRPr="00B22579">
        <w:rPr>
          <w:rFonts w:ascii="Times New Roman" w:hAnsi="Times New Roman"/>
          <w:szCs w:val="24"/>
        </w:rPr>
        <w:t>This policy should be known and understood by the following groups of individuals, responsible for the specific roles outlined below:</w:t>
      </w:r>
    </w:p>
    <w:p w:rsidR="00EF1DCF" w:rsidRPr="00752473" w:rsidRDefault="00EF1DCF" w:rsidP="00EF1DCF">
      <w:pPr>
        <w:rPr>
          <w:rFonts w:ascii="Times New Roman" w:hAnsi="Times New Roman"/>
          <w:sz w:val="23"/>
          <w:szCs w:val="23"/>
        </w:rPr>
      </w:pPr>
    </w:p>
    <w:p w:rsidR="00EF1DCF" w:rsidRPr="00E91195" w:rsidRDefault="00EF1DCF" w:rsidP="00EF1DCF">
      <w:pPr>
        <w:widowControl/>
        <w:numPr>
          <w:ilvl w:val="0"/>
          <w:numId w:val="9"/>
        </w:numPr>
        <w:overflowPunct/>
        <w:autoSpaceDE/>
        <w:autoSpaceDN/>
        <w:adjustRightInd/>
        <w:textAlignment w:val="auto"/>
        <w:rPr>
          <w:rFonts w:ascii="Times New Roman" w:hAnsi="Times New Roman"/>
          <w:b/>
          <w:color w:val="000000"/>
        </w:rPr>
      </w:pPr>
      <w:r w:rsidRPr="00E91195">
        <w:rPr>
          <w:rFonts w:ascii="Times New Roman" w:hAnsi="Times New Roman"/>
          <w:b/>
          <w:color w:val="000000"/>
        </w:rPr>
        <w:t>Department Chairs/Division Directors</w:t>
      </w:r>
    </w:p>
    <w:p w:rsidR="00EF1DCF" w:rsidRPr="00B22579" w:rsidRDefault="00EF1DCF" w:rsidP="00EF1DCF">
      <w:pPr>
        <w:widowControl/>
        <w:numPr>
          <w:ilvl w:val="1"/>
          <w:numId w:val="9"/>
        </w:numPr>
        <w:overflowPunct/>
        <w:autoSpaceDE/>
        <w:autoSpaceDN/>
        <w:adjustRightInd/>
        <w:textAlignment w:val="auto"/>
        <w:rPr>
          <w:rFonts w:ascii="Times New Roman" w:hAnsi="Times New Roman"/>
          <w:color w:val="000000"/>
          <w:szCs w:val="24"/>
        </w:rPr>
      </w:pPr>
      <w:r w:rsidRPr="00B22579">
        <w:rPr>
          <w:rFonts w:ascii="Times New Roman" w:hAnsi="Times New Roman"/>
          <w:szCs w:val="24"/>
        </w:rPr>
        <w:t>Review</w:t>
      </w:r>
      <w:r w:rsidR="002147E1" w:rsidRPr="00B22579">
        <w:rPr>
          <w:rFonts w:ascii="Times New Roman" w:hAnsi="Times New Roman"/>
          <w:szCs w:val="24"/>
        </w:rPr>
        <w:t xml:space="preserve"> and be aware of this policy.</w:t>
      </w:r>
    </w:p>
    <w:p w:rsidR="00EF3B7E" w:rsidRPr="00B22579" w:rsidRDefault="00EF3B7E" w:rsidP="00EF3B7E">
      <w:pPr>
        <w:widowControl/>
        <w:overflowPunct/>
        <w:autoSpaceDE/>
        <w:autoSpaceDN/>
        <w:adjustRightInd/>
        <w:ind w:left="720"/>
        <w:textAlignment w:val="auto"/>
        <w:rPr>
          <w:rFonts w:ascii="Times New Roman" w:hAnsi="Times New Roman"/>
          <w:b/>
          <w:color w:val="000000"/>
          <w:szCs w:val="24"/>
        </w:rPr>
      </w:pPr>
    </w:p>
    <w:p w:rsidR="00EF1DCF" w:rsidRPr="00E91195" w:rsidRDefault="00EF1DCF" w:rsidP="00455B68">
      <w:pPr>
        <w:widowControl/>
        <w:numPr>
          <w:ilvl w:val="0"/>
          <w:numId w:val="9"/>
        </w:numPr>
        <w:overflowPunct/>
        <w:autoSpaceDE/>
        <w:autoSpaceDN/>
        <w:adjustRightInd/>
        <w:textAlignment w:val="auto"/>
        <w:rPr>
          <w:rFonts w:ascii="Times New Roman" w:hAnsi="Times New Roman"/>
          <w:b/>
          <w:color w:val="000000"/>
        </w:rPr>
      </w:pPr>
      <w:r w:rsidRPr="00E91195">
        <w:rPr>
          <w:rFonts w:ascii="Times New Roman" w:hAnsi="Times New Roman"/>
          <w:b/>
          <w:color w:val="000000"/>
        </w:rPr>
        <w:t>Department Administrators</w:t>
      </w:r>
    </w:p>
    <w:p w:rsidR="00EF3B7E" w:rsidRPr="00B22579" w:rsidRDefault="00B22579" w:rsidP="000B3FA0">
      <w:pPr>
        <w:pStyle w:val="BodyText"/>
        <w:numPr>
          <w:ilvl w:val="1"/>
          <w:numId w:val="9"/>
        </w:numPr>
        <w:rPr>
          <w:rFonts w:ascii="Times New Roman" w:hAnsi="Times New Roman" w:cs="Times New Roman"/>
          <w:sz w:val="24"/>
        </w:rPr>
      </w:pPr>
      <w:r w:rsidRPr="00B22579">
        <w:rPr>
          <w:rFonts w:ascii="Times New Roman" w:hAnsi="Times New Roman" w:cs="Times New Roman"/>
          <w:sz w:val="24"/>
        </w:rPr>
        <w:t>Perform</w:t>
      </w:r>
      <w:r w:rsidR="00EF3B7E" w:rsidRPr="00B22579">
        <w:rPr>
          <w:rFonts w:ascii="Times New Roman" w:hAnsi="Times New Roman" w:cs="Times New Roman"/>
          <w:sz w:val="24"/>
        </w:rPr>
        <w:t xml:space="preserve"> or review </w:t>
      </w:r>
      <w:r w:rsidR="002147E1" w:rsidRPr="00B22579">
        <w:rPr>
          <w:rFonts w:ascii="Times New Roman" w:hAnsi="Times New Roman" w:cs="Times New Roman"/>
          <w:sz w:val="24"/>
        </w:rPr>
        <w:t xml:space="preserve">the inventory counts and prepare </w:t>
      </w:r>
      <w:r w:rsidRPr="00B22579">
        <w:rPr>
          <w:rFonts w:ascii="Times New Roman" w:hAnsi="Times New Roman" w:cs="Times New Roman"/>
          <w:sz w:val="24"/>
        </w:rPr>
        <w:t xml:space="preserve">or review </w:t>
      </w:r>
      <w:r w:rsidR="002147E1" w:rsidRPr="00B22579">
        <w:rPr>
          <w:rFonts w:ascii="Times New Roman" w:hAnsi="Times New Roman" w:cs="Times New Roman"/>
          <w:sz w:val="24"/>
        </w:rPr>
        <w:t xml:space="preserve">the extended inventory worksheet.  </w:t>
      </w:r>
    </w:p>
    <w:p w:rsidR="00EF1DCF" w:rsidRPr="00B22579" w:rsidRDefault="002147E1" w:rsidP="000B3FA0">
      <w:pPr>
        <w:pStyle w:val="BodyText"/>
        <w:numPr>
          <w:ilvl w:val="1"/>
          <w:numId w:val="9"/>
        </w:numPr>
        <w:rPr>
          <w:rFonts w:ascii="Times New Roman" w:hAnsi="Times New Roman" w:cs="Times New Roman"/>
          <w:sz w:val="24"/>
        </w:rPr>
      </w:pPr>
      <w:r w:rsidRPr="00B22579">
        <w:rPr>
          <w:rFonts w:ascii="Times New Roman" w:hAnsi="Times New Roman" w:cs="Times New Roman"/>
          <w:sz w:val="24"/>
        </w:rPr>
        <w:t xml:space="preserve">Complete </w:t>
      </w:r>
      <w:hyperlink r:id="rId8" w:history="1">
        <w:r w:rsidR="00EF1DCF" w:rsidRPr="00B22579">
          <w:rPr>
            <w:rStyle w:val="Hyperlink"/>
            <w:rFonts w:ascii="Times New Roman" w:hAnsi="Times New Roman" w:cs="Times New Roman"/>
            <w:sz w:val="24"/>
          </w:rPr>
          <w:t>JE template</w:t>
        </w:r>
      </w:hyperlink>
      <w:r w:rsidR="00EF1DCF" w:rsidRPr="00B22579">
        <w:rPr>
          <w:rFonts w:ascii="Times New Roman" w:hAnsi="Times New Roman" w:cs="Times New Roman"/>
          <w:sz w:val="24"/>
        </w:rPr>
        <w:t xml:space="preserve"> with appropriate documentation</w:t>
      </w:r>
      <w:r w:rsidRPr="00B22579">
        <w:rPr>
          <w:rFonts w:ascii="Times New Roman" w:hAnsi="Times New Roman" w:cs="Times New Roman"/>
          <w:sz w:val="24"/>
        </w:rPr>
        <w:t xml:space="preserve"> to bring the </w:t>
      </w:r>
      <w:r w:rsidR="00EF3B7E" w:rsidRPr="00B22579">
        <w:rPr>
          <w:rFonts w:ascii="Times New Roman" w:hAnsi="Times New Roman" w:cs="Times New Roman"/>
          <w:sz w:val="24"/>
        </w:rPr>
        <w:t>general ledger account into balance with the extended inventory worksheet</w:t>
      </w:r>
      <w:r w:rsidR="00EF1DCF" w:rsidRPr="00B22579">
        <w:rPr>
          <w:rFonts w:ascii="Times New Roman" w:eastAsia="Arial Unicode MS" w:hAnsi="Times New Roman" w:cs="Times New Roman"/>
          <w:sz w:val="24"/>
        </w:rPr>
        <w:t>.</w:t>
      </w:r>
    </w:p>
    <w:p w:rsidR="00EF3B7E" w:rsidRPr="00B22579" w:rsidRDefault="00EF3B7E" w:rsidP="00EF3B7E">
      <w:pPr>
        <w:widowControl/>
        <w:overflowPunct/>
        <w:autoSpaceDE/>
        <w:autoSpaceDN/>
        <w:adjustRightInd/>
        <w:ind w:left="720"/>
        <w:textAlignment w:val="auto"/>
        <w:rPr>
          <w:rFonts w:ascii="Times New Roman" w:hAnsi="Times New Roman"/>
          <w:b/>
          <w:color w:val="000000"/>
          <w:szCs w:val="24"/>
        </w:rPr>
      </w:pPr>
    </w:p>
    <w:p w:rsidR="00EF1DCF" w:rsidRPr="00E91195" w:rsidRDefault="00EF1DCF" w:rsidP="00EF1DCF">
      <w:pPr>
        <w:widowControl/>
        <w:numPr>
          <w:ilvl w:val="0"/>
          <w:numId w:val="9"/>
        </w:numPr>
        <w:overflowPunct/>
        <w:autoSpaceDE/>
        <w:autoSpaceDN/>
        <w:adjustRightInd/>
        <w:textAlignment w:val="auto"/>
        <w:rPr>
          <w:rFonts w:ascii="Times New Roman" w:hAnsi="Times New Roman"/>
          <w:b/>
          <w:color w:val="000000"/>
        </w:rPr>
      </w:pPr>
      <w:r w:rsidRPr="00E91195">
        <w:rPr>
          <w:rFonts w:ascii="Times New Roman" w:hAnsi="Times New Roman"/>
          <w:b/>
          <w:color w:val="000000"/>
        </w:rPr>
        <w:t xml:space="preserve">Accounting Services </w:t>
      </w:r>
    </w:p>
    <w:p w:rsidR="00EF1DCF" w:rsidRPr="00B22579" w:rsidRDefault="00EF1DCF" w:rsidP="00EF1DCF">
      <w:pPr>
        <w:pStyle w:val="BodyText"/>
        <w:numPr>
          <w:ilvl w:val="1"/>
          <w:numId w:val="9"/>
        </w:numPr>
        <w:rPr>
          <w:rFonts w:ascii="Times New Roman" w:hAnsi="Times New Roman" w:cs="Times New Roman"/>
          <w:b/>
          <w:sz w:val="24"/>
        </w:rPr>
      </w:pPr>
      <w:r w:rsidRPr="00B22579">
        <w:rPr>
          <w:rFonts w:ascii="Times New Roman" w:hAnsi="Times New Roman" w:cs="Times New Roman"/>
          <w:sz w:val="24"/>
        </w:rPr>
        <w:t xml:space="preserve">Review </w:t>
      </w:r>
      <w:r w:rsidR="00EF3B7E" w:rsidRPr="00B22579">
        <w:rPr>
          <w:rFonts w:ascii="Times New Roman" w:hAnsi="Times New Roman" w:cs="Times New Roman"/>
          <w:sz w:val="24"/>
        </w:rPr>
        <w:t xml:space="preserve">the </w:t>
      </w:r>
      <w:r w:rsidRPr="00B22579">
        <w:rPr>
          <w:rFonts w:ascii="Times New Roman" w:hAnsi="Times New Roman" w:cs="Times New Roman"/>
          <w:sz w:val="24"/>
        </w:rPr>
        <w:t>JE template and relevant documentation to ensure document is complete</w:t>
      </w:r>
      <w:r w:rsidR="00EF3B7E" w:rsidRPr="00B22579">
        <w:rPr>
          <w:rFonts w:ascii="Times New Roman" w:hAnsi="Times New Roman" w:cs="Times New Roman"/>
          <w:sz w:val="24"/>
        </w:rPr>
        <w:t xml:space="preserve"> and the journal entry will </w:t>
      </w:r>
      <w:r w:rsidR="00B22579" w:rsidRPr="00B22579">
        <w:rPr>
          <w:rFonts w:ascii="Times New Roman" w:hAnsi="Times New Roman" w:cs="Times New Roman"/>
          <w:sz w:val="24"/>
        </w:rPr>
        <w:t xml:space="preserve">make </w:t>
      </w:r>
      <w:r w:rsidR="00EF3B7E" w:rsidRPr="00B22579">
        <w:rPr>
          <w:rFonts w:ascii="Times New Roman" w:hAnsi="Times New Roman" w:cs="Times New Roman"/>
          <w:sz w:val="24"/>
        </w:rPr>
        <w:t>the ledger balance with the extended inventory worksheet</w:t>
      </w:r>
      <w:r w:rsidRPr="00B22579">
        <w:rPr>
          <w:rFonts w:ascii="Times New Roman" w:hAnsi="Times New Roman" w:cs="Times New Roman"/>
          <w:sz w:val="24"/>
        </w:rPr>
        <w:t>.</w:t>
      </w:r>
    </w:p>
    <w:p w:rsidR="00EF3B7E" w:rsidRPr="00B22579" w:rsidRDefault="00EF3B7E" w:rsidP="00EF3B7E">
      <w:pPr>
        <w:widowControl/>
        <w:overflowPunct/>
        <w:autoSpaceDE/>
        <w:autoSpaceDN/>
        <w:adjustRightInd/>
        <w:ind w:left="720"/>
        <w:textAlignment w:val="auto"/>
        <w:rPr>
          <w:rFonts w:ascii="Times New Roman" w:hAnsi="Times New Roman"/>
          <w:b/>
          <w:color w:val="000000" w:themeColor="text1"/>
          <w:szCs w:val="24"/>
        </w:rPr>
      </w:pPr>
    </w:p>
    <w:p w:rsidR="00826020" w:rsidRPr="00E91195" w:rsidRDefault="00826020" w:rsidP="00826020">
      <w:pPr>
        <w:widowControl/>
        <w:numPr>
          <w:ilvl w:val="0"/>
          <w:numId w:val="9"/>
        </w:numPr>
        <w:overflowPunct/>
        <w:autoSpaceDE/>
        <w:autoSpaceDN/>
        <w:adjustRightInd/>
        <w:textAlignment w:val="auto"/>
        <w:rPr>
          <w:rFonts w:ascii="Times New Roman" w:hAnsi="Times New Roman"/>
          <w:b/>
          <w:color w:val="000000" w:themeColor="text1"/>
        </w:rPr>
      </w:pPr>
      <w:r w:rsidRPr="00E91195">
        <w:rPr>
          <w:rFonts w:ascii="Times New Roman" w:hAnsi="Times New Roman"/>
          <w:b/>
          <w:color w:val="000000" w:themeColor="text1"/>
        </w:rPr>
        <w:t xml:space="preserve">Internal Audit Personnel, </w:t>
      </w:r>
      <w:r w:rsidR="004D6244">
        <w:rPr>
          <w:rFonts w:ascii="Times New Roman" w:hAnsi="Times New Roman"/>
          <w:b/>
          <w:color w:val="000000" w:themeColor="text1"/>
        </w:rPr>
        <w:t xml:space="preserve"> and P</w:t>
      </w:r>
      <w:r w:rsidRPr="00E91195">
        <w:rPr>
          <w:rFonts w:ascii="Times New Roman" w:hAnsi="Times New Roman"/>
          <w:b/>
          <w:color w:val="000000" w:themeColor="text1"/>
        </w:rPr>
        <w:t xml:space="preserve">ersonnel who </w:t>
      </w:r>
      <w:r w:rsidR="00D44B83">
        <w:rPr>
          <w:rFonts w:ascii="Times New Roman" w:hAnsi="Times New Roman"/>
          <w:b/>
          <w:color w:val="000000" w:themeColor="text1"/>
        </w:rPr>
        <w:t xml:space="preserve">have responsibilities over inventory, or </w:t>
      </w:r>
      <w:r w:rsidRPr="00E91195">
        <w:rPr>
          <w:rFonts w:ascii="Times New Roman" w:hAnsi="Times New Roman"/>
          <w:b/>
          <w:color w:val="000000" w:themeColor="text1"/>
        </w:rPr>
        <w:t xml:space="preserve">are involved with or have oversight of activities </w:t>
      </w:r>
      <w:r w:rsidR="004D6244">
        <w:rPr>
          <w:rFonts w:ascii="Times New Roman" w:hAnsi="Times New Roman"/>
          <w:b/>
          <w:color w:val="000000" w:themeColor="text1"/>
        </w:rPr>
        <w:t xml:space="preserve">for inventory </w:t>
      </w:r>
      <w:r w:rsidRPr="00E91195">
        <w:rPr>
          <w:rFonts w:ascii="Times New Roman" w:hAnsi="Times New Roman"/>
          <w:b/>
          <w:color w:val="000000" w:themeColor="text1"/>
        </w:rPr>
        <w:t xml:space="preserve"> </w:t>
      </w:r>
    </w:p>
    <w:p w:rsidR="008D7AA7" w:rsidRDefault="008D7AA7" w:rsidP="00E91195">
      <w:pPr>
        <w:widowControl/>
        <w:numPr>
          <w:ilvl w:val="1"/>
          <w:numId w:val="9"/>
        </w:numPr>
        <w:overflowPunct/>
        <w:autoSpaceDE/>
        <w:autoSpaceDN/>
        <w:adjustRightInd/>
        <w:textAlignment w:val="auto"/>
        <w:rPr>
          <w:rFonts w:ascii="Times New Roman" w:hAnsi="Times New Roman"/>
          <w:color w:val="000000" w:themeColor="text1"/>
        </w:rPr>
      </w:pPr>
      <w:r>
        <w:rPr>
          <w:rFonts w:ascii="Times New Roman" w:hAnsi="Times New Roman"/>
          <w:color w:val="000000" w:themeColor="text1"/>
        </w:rPr>
        <w:t xml:space="preserve">Apply this policy in oversight of inventory and financial reporting </w:t>
      </w:r>
    </w:p>
    <w:p w:rsidR="00AE5F90" w:rsidRPr="004E60BB" w:rsidRDefault="00AE5F90" w:rsidP="00FE0118">
      <w:pPr>
        <w:rPr>
          <w:rFonts w:ascii="Times New Roman" w:hAnsi="Times New Roman"/>
          <w:sz w:val="22"/>
          <w:szCs w:val="22"/>
        </w:rPr>
      </w:pPr>
    </w:p>
    <w:p w:rsidR="00AE5F90" w:rsidRPr="004E60BB" w:rsidRDefault="00AE5F90" w:rsidP="00FE0118">
      <w:pPr>
        <w:rPr>
          <w:rFonts w:ascii="Times New Roman" w:hAnsi="Times New Roman"/>
          <w:sz w:val="22"/>
          <w:szCs w:val="22"/>
        </w:rPr>
      </w:pPr>
      <w:r w:rsidRPr="004E60BB">
        <w:rPr>
          <w:rFonts w:ascii="Times New Roman" w:hAnsi="Times New Roman"/>
          <w:b/>
          <w:sz w:val="22"/>
          <w:szCs w:val="22"/>
        </w:rPr>
        <w:t>POLICY</w:t>
      </w:r>
    </w:p>
    <w:p w:rsidR="00813641" w:rsidRDefault="00813641" w:rsidP="00FE0118">
      <w:pPr>
        <w:pStyle w:val="BodyText"/>
        <w:rPr>
          <w:rFonts w:ascii="Times New Roman" w:hAnsi="Times New Roman" w:cs="Times New Roman"/>
          <w:color w:val="000000"/>
          <w:sz w:val="22"/>
          <w:szCs w:val="22"/>
        </w:rPr>
      </w:pPr>
    </w:p>
    <w:p w:rsidR="00EF3B7E" w:rsidRDefault="00EF3B7E" w:rsidP="005012D5">
      <w:pPr>
        <w:rPr>
          <w:rFonts w:ascii="Times New Roman" w:hAnsi="Times New Roman"/>
        </w:rPr>
      </w:pPr>
      <w:r>
        <w:rPr>
          <w:rFonts w:ascii="Times New Roman" w:hAnsi="Times New Roman"/>
        </w:rPr>
        <w:t>In order to ensure that Creighton University’s year</w:t>
      </w:r>
      <w:r w:rsidR="00510720">
        <w:rPr>
          <w:rFonts w:ascii="Times New Roman" w:hAnsi="Times New Roman"/>
        </w:rPr>
        <w:t>-</w:t>
      </w:r>
      <w:r>
        <w:rPr>
          <w:rFonts w:ascii="Times New Roman" w:hAnsi="Times New Roman"/>
        </w:rPr>
        <w:t xml:space="preserve">end inventory balances are accurate, an annual inventory count </w:t>
      </w:r>
      <w:r w:rsidRPr="004D6244">
        <w:rPr>
          <w:rFonts w:ascii="Times New Roman" w:hAnsi="Times New Roman"/>
          <w:u w:val="single"/>
        </w:rPr>
        <w:t>must</w:t>
      </w:r>
      <w:r>
        <w:rPr>
          <w:rFonts w:ascii="Times New Roman" w:hAnsi="Times New Roman"/>
        </w:rPr>
        <w:t xml:space="preserve"> be performed for</w:t>
      </w:r>
      <w:r w:rsidR="004D6244">
        <w:rPr>
          <w:rFonts w:ascii="Times New Roman" w:hAnsi="Times New Roman"/>
        </w:rPr>
        <w:t xml:space="preserve"> any inventory that exceeds $100,000</w:t>
      </w:r>
      <w:r>
        <w:rPr>
          <w:rFonts w:ascii="Times New Roman" w:hAnsi="Times New Roman"/>
        </w:rPr>
        <w:t xml:space="preserve"> </w:t>
      </w:r>
      <w:r w:rsidR="004D6244">
        <w:rPr>
          <w:rFonts w:ascii="Times New Roman" w:hAnsi="Times New Roman"/>
        </w:rPr>
        <w:t xml:space="preserve">at year end.  </w:t>
      </w:r>
    </w:p>
    <w:p w:rsidR="00EF3B7E" w:rsidRDefault="00EF3B7E" w:rsidP="005012D5">
      <w:pPr>
        <w:rPr>
          <w:rFonts w:ascii="Times New Roman" w:hAnsi="Times New Roman"/>
        </w:rPr>
      </w:pPr>
      <w:r>
        <w:rPr>
          <w:rFonts w:ascii="Times New Roman" w:hAnsi="Times New Roman"/>
        </w:rPr>
        <w:t xml:space="preserve">Once the count is complete, the extended cost must be computed by multiplying the units counted times the cost of those units.  This cost should be the most current price paid for the units.  The report with each item description, unit cost and extended cost should then be totaled.  This total should then be compared to the general ledger balance and a journal voucher prepared for the variance.  The journal voucher and extended cost worksheet should be sent to accounting services by June 30 so it can be recorded in the proper year end records.  </w:t>
      </w:r>
    </w:p>
    <w:p w:rsidR="004D6244" w:rsidRDefault="004D6244" w:rsidP="005012D5">
      <w:pPr>
        <w:rPr>
          <w:rFonts w:ascii="Times New Roman" w:hAnsi="Times New Roman"/>
        </w:rPr>
      </w:pPr>
    </w:p>
    <w:p w:rsidR="004D6244" w:rsidRPr="009D4693" w:rsidRDefault="004D6244" w:rsidP="005012D5">
      <w:pPr>
        <w:rPr>
          <w:rFonts w:ascii="Times New Roman" w:hAnsi="Times New Roman"/>
        </w:rPr>
      </w:pPr>
      <w:r>
        <w:rPr>
          <w:rFonts w:ascii="Times New Roman" w:hAnsi="Times New Roman"/>
        </w:rPr>
        <w:lastRenderedPageBreak/>
        <w:t>If an additional physical inventory count is taken in addition to the year</w:t>
      </w:r>
      <w:r w:rsidR="00E05902">
        <w:rPr>
          <w:rFonts w:ascii="Times New Roman" w:hAnsi="Times New Roman"/>
        </w:rPr>
        <w:t>-</w:t>
      </w:r>
      <w:r>
        <w:rPr>
          <w:rFonts w:ascii="Times New Roman" w:hAnsi="Times New Roman"/>
        </w:rPr>
        <w:t xml:space="preserve">end count, the same procedures outlined in this policy should be followed. </w:t>
      </w:r>
    </w:p>
    <w:p w:rsidR="00EF3B7E" w:rsidRDefault="00EF3B7E" w:rsidP="00455B68">
      <w:pPr>
        <w:rPr>
          <w:rFonts w:ascii="Times New Roman" w:hAnsi="Times New Roman"/>
          <w:b/>
          <w:bCs/>
          <w:color w:val="000000"/>
        </w:rPr>
      </w:pPr>
    </w:p>
    <w:p w:rsidR="00AE5F90" w:rsidRPr="004E60BB" w:rsidRDefault="00AE5F90" w:rsidP="00FE0118">
      <w:pPr>
        <w:rPr>
          <w:rFonts w:ascii="Times New Roman" w:hAnsi="Times New Roman"/>
          <w:sz w:val="22"/>
          <w:szCs w:val="22"/>
        </w:rPr>
      </w:pPr>
    </w:p>
    <w:p w:rsidR="00AE5F90" w:rsidRPr="004E60BB" w:rsidRDefault="00AE5F90" w:rsidP="00FE0118">
      <w:pPr>
        <w:rPr>
          <w:rFonts w:ascii="Times New Roman" w:hAnsi="Times New Roman"/>
          <w:sz w:val="22"/>
          <w:szCs w:val="22"/>
        </w:rPr>
      </w:pPr>
      <w:r w:rsidRPr="004E60BB">
        <w:rPr>
          <w:rFonts w:ascii="Times New Roman" w:hAnsi="Times New Roman"/>
          <w:b/>
          <w:sz w:val="22"/>
          <w:szCs w:val="22"/>
        </w:rPr>
        <w:t>DEFINITIONS</w:t>
      </w:r>
    </w:p>
    <w:p w:rsidR="002861B3" w:rsidRDefault="002861B3" w:rsidP="00A12E1F">
      <w:pPr>
        <w:rPr>
          <w:rFonts w:ascii="Times New Roman" w:hAnsi="Times New Roman"/>
          <w:b/>
          <w:bCs/>
          <w:color w:val="000000"/>
        </w:rPr>
      </w:pPr>
    </w:p>
    <w:p w:rsidR="00CB1939" w:rsidRDefault="00EF3B7E" w:rsidP="00A12E1F">
      <w:pPr>
        <w:rPr>
          <w:rFonts w:ascii="Times New Roman" w:hAnsi="Times New Roman"/>
          <w:color w:val="000000"/>
        </w:rPr>
      </w:pPr>
      <w:r>
        <w:rPr>
          <w:rFonts w:ascii="Times New Roman" w:hAnsi="Times New Roman"/>
          <w:b/>
          <w:bCs/>
          <w:color w:val="000000"/>
        </w:rPr>
        <w:t xml:space="preserve">Inventories </w:t>
      </w:r>
      <w:r>
        <w:rPr>
          <w:rFonts w:ascii="Times New Roman" w:hAnsi="Times New Roman"/>
          <w:bCs/>
          <w:color w:val="000000"/>
        </w:rPr>
        <w:t xml:space="preserve">are items held for sale to an </w:t>
      </w:r>
      <w:r w:rsidR="00B22579">
        <w:rPr>
          <w:rFonts w:ascii="Times New Roman" w:hAnsi="Times New Roman"/>
          <w:bCs/>
          <w:color w:val="000000"/>
        </w:rPr>
        <w:t>entity outside of Creighton University</w:t>
      </w:r>
      <w:r>
        <w:rPr>
          <w:rFonts w:ascii="Times New Roman" w:hAnsi="Times New Roman"/>
          <w:bCs/>
          <w:color w:val="000000"/>
        </w:rPr>
        <w:t xml:space="preserve">.  These may include </w:t>
      </w:r>
      <w:r w:rsidR="00C32234">
        <w:rPr>
          <w:rFonts w:ascii="Times New Roman" w:hAnsi="Times New Roman"/>
          <w:bCs/>
          <w:color w:val="000000"/>
        </w:rPr>
        <w:t>(</w:t>
      </w:r>
      <w:r>
        <w:rPr>
          <w:rFonts w:ascii="Times New Roman" w:hAnsi="Times New Roman"/>
          <w:bCs/>
          <w:color w:val="000000"/>
        </w:rPr>
        <w:t>but are not limited to</w:t>
      </w:r>
      <w:r w:rsidR="00C32234">
        <w:rPr>
          <w:rFonts w:ascii="Times New Roman" w:hAnsi="Times New Roman"/>
          <w:bCs/>
          <w:color w:val="000000"/>
        </w:rPr>
        <w:t>)</w:t>
      </w:r>
      <w:r>
        <w:rPr>
          <w:rFonts w:ascii="Times New Roman" w:hAnsi="Times New Roman"/>
          <w:bCs/>
          <w:color w:val="000000"/>
        </w:rPr>
        <w:t xml:space="preserve"> computers and computer accessories sold at the IJay store, medications sold at the CU Pharmacy and gold and other dental supplies used in patient care in the dental clinic.  </w:t>
      </w:r>
      <w:r w:rsidR="00CB1939">
        <w:rPr>
          <w:rFonts w:ascii="Times New Roman" w:hAnsi="Times New Roman"/>
          <w:color w:val="000000"/>
        </w:rPr>
        <w:t xml:space="preserve"> </w:t>
      </w:r>
    </w:p>
    <w:p w:rsidR="002861B3" w:rsidRDefault="002861B3" w:rsidP="00A12E1F">
      <w:pPr>
        <w:rPr>
          <w:rFonts w:ascii="Times New Roman" w:hAnsi="Times New Roman"/>
          <w:b/>
          <w:color w:val="000000"/>
        </w:rPr>
      </w:pPr>
    </w:p>
    <w:p w:rsidR="00E576A1" w:rsidRDefault="00E576A1" w:rsidP="00FE0118">
      <w:pPr>
        <w:ind w:left="720" w:hanging="720"/>
        <w:rPr>
          <w:rFonts w:ascii="Times New Roman" w:hAnsi="Times New Roman"/>
          <w:b/>
          <w:sz w:val="22"/>
          <w:szCs w:val="22"/>
        </w:rPr>
      </w:pPr>
    </w:p>
    <w:p w:rsidR="00AE5F90" w:rsidRPr="00494AFE" w:rsidRDefault="00AE5F90" w:rsidP="00FE0118">
      <w:pPr>
        <w:ind w:left="720" w:hanging="720"/>
        <w:rPr>
          <w:rFonts w:ascii="Times New Roman" w:hAnsi="Times New Roman"/>
          <w:b/>
          <w:sz w:val="22"/>
          <w:szCs w:val="22"/>
        </w:rPr>
      </w:pPr>
      <w:r w:rsidRPr="00494AFE">
        <w:rPr>
          <w:rFonts w:ascii="Times New Roman" w:hAnsi="Times New Roman"/>
          <w:b/>
          <w:sz w:val="22"/>
          <w:szCs w:val="22"/>
        </w:rPr>
        <w:t xml:space="preserve">ADMINISTRATION </w:t>
      </w:r>
      <w:smartTag w:uri="urn:schemas-microsoft-com:office:smarttags" w:element="stockticker">
        <w:r w:rsidRPr="00494AFE">
          <w:rPr>
            <w:rFonts w:ascii="Times New Roman" w:hAnsi="Times New Roman"/>
            <w:b/>
            <w:sz w:val="22"/>
            <w:szCs w:val="22"/>
          </w:rPr>
          <w:t>AND</w:t>
        </w:r>
      </w:smartTag>
      <w:r w:rsidRPr="00494AFE">
        <w:rPr>
          <w:rFonts w:ascii="Times New Roman" w:hAnsi="Times New Roman"/>
          <w:b/>
          <w:sz w:val="22"/>
          <w:szCs w:val="22"/>
        </w:rPr>
        <w:t xml:space="preserve"> INTERPRETATIONS</w:t>
      </w:r>
    </w:p>
    <w:p w:rsidR="00AE5F90" w:rsidRPr="004E60BB" w:rsidRDefault="00AE5F90" w:rsidP="00FE0118">
      <w:pPr>
        <w:ind w:left="720" w:hanging="720"/>
        <w:rPr>
          <w:rFonts w:ascii="Times New Roman" w:hAnsi="Times New Roman"/>
          <w:sz w:val="22"/>
          <w:szCs w:val="22"/>
        </w:rPr>
      </w:pPr>
    </w:p>
    <w:p w:rsidR="00AE5F90" w:rsidRPr="00B22579" w:rsidRDefault="00181C73" w:rsidP="00FE0118">
      <w:pPr>
        <w:ind w:left="720" w:hanging="720"/>
        <w:rPr>
          <w:rFonts w:ascii="Times New Roman" w:hAnsi="Times New Roman"/>
          <w:szCs w:val="24"/>
        </w:rPr>
      </w:pPr>
      <w:r w:rsidRPr="00B22579">
        <w:rPr>
          <w:rFonts w:ascii="Times New Roman" w:hAnsi="Times New Roman"/>
          <w:szCs w:val="24"/>
        </w:rPr>
        <w:t>Please contact Accounting Services for questions about this policy.</w:t>
      </w:r>
    </w:p>
    <w:p w:rsidR="00181C73" w:rsidRPr="00B22579" w:rsidRDefault="00181C73" w:rsidP="00FE0118">
      <w:pPr>
        <w:ind w:left="720" w:hanging="720"/>
        <w:rPr>
          <w:rFonts w:ascii="Times New Roman" w:hAnsi="Times New Roman"/>
          <w:szCs w:val="24"/>
        </w:rPr>
      </w:pPr>
    </w:p>
    <w:p w:rsidR="00AE5F90" w:rsidRPr="00494AFE" w:rsidRDefault="00AE5F90" w:rsidP="00FE0118">
      <w:pPr>
        <w:ind w:left="720" w:hanging="720"/>
        <w:rPr>
          <w:rFonts w:ascii="Times New Roman" w:hAnsi="Times New Roman"/>
          <w:b/>
          <w:sz w:val="22"/>
          <w:szCs w:val="22"/>
        </w:rPr>
      </w:pPr>
      <w:r w:rsidRPr="00494AFE">
        <w:rPr>
          <w:rFonts w:ascii="Times New Roman" w:hAnsi="Times New Roman"/>
          <w:b/>
          <w:sz w:val="22"/>
          <w:szCs w:val="22"/>
        </w:rPr>
        <w:t>AMENDMENTS OR TERMINATION OF POLICY</w:t>
      </w:r>
    </w:p>
    <w:p w:rsidR="00AE5F90" w:rsidRPr="004E60BB" w:rsidRDefault="00AE5F90" w:rsidP="00FE0118">
      <w:pPr>
        <w:ind w:left="720" w:hanging="720"/>
        <w:rPr>
          <w:rFonts w:ascii="Times New Roman" w:hAnsi="Times New Roman"/>
          <w:sz w:val="22"/>
          <w:szCs w:val="22"/>
        </w:rPr>
      </w:pPr>
    </w:p>
    <w:p w:rsidR="007D4D8D" w:rsidRPr="00B22579" w:rsidRDefault="00AE5F90" w:rsidP="00D849A0">
      <w:pPr>
        <w:rPr>
          <w:rFonts w:ascii="Times New Roman" w:hAnsi="Times New Roman"/>
          <w:szCs w:val="24"/>
        </w:rPr>
      </w:pPr>
      <w:r w:rsidRPr="00B22579">
        <w:rPr>
          <w:rFonts w:ascii="Times New Roman" w:hAnsi="Times New Roman"/>
          <w:szCs w:val="24"/>
        </w:rPr>
        <w:t>The University reserves the right to modify, amend or terminate this policy at any time.</w:t>
      </w:r>
    </w:p>
    <w:sectPr w:rsidR="007D4D8D" w:rsidRPr="00B22579" w:rsidSect="002A1D61">
      <w:headerReference w:type="default" r:id="rId9"/>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BD" w:rsidRDefault="004A21BD" w:rsidP="00444353">
      <w:r>
        <w:separator/>
      </w:r>
    </w:p>
  </w:endnote>
  <w:endnote w:type="continuationSeparator" w:id="0">
    <w:p w:rsidR="004A21BD" w:rsidRDefault="004A21BD"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BD" w:rsidRDefault="004A21BD" w:rsidP="00444353">
      <w:r>
        <w:separator/>
      </w:r>
    </w:p>
  </w:footnote>
  <w:footnote w:type="continuationSeparator" w:id="0">
    <w:p w:rsidR="004A21BD" w:rsidRDefault="004A21BD"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8973C2" w:rsidRPr="00A81912" w:rsidRDefault="0019773B" w:rsidP="0019773B">
          <w:pPr>
            <w:tabs>
              <w:tab w:val="left" w:pos="-1440"/>
              <w:tab w:val="left" w:pos="-720"/>
            </w:tabs>
            <w:suppressAutoHyphens/>
            <w:spacing w:after="111"/>
            <w:rPr>
              <w:rFonts w:ascii="Times New Roman" w:hAnsi="Times New Roman"/>
              <w:b/>
              <w:sz w:val="28"/>
            </w:rPr>
          </w:pPr>
          <w:r>
            <w:rPr>
              <w:rFonts w:ascii="Times New Roman" w:hAnsi="Times New Roman"/>
              <w:b/>
              <w:sz w:val="28"/>
            </w:rPr>
            <w:t>GNPL08</w:t>
          </w:r>
          <w:r w:rsidRPr="00A81912">
            <w:rPr>
              <w:rFonts w:ascii="Times New Roman" w:hAnsi="Times New Roman"/>
              <w:b/>
              <w:sz w:val="28"/>
            </w:rPr>
            <w:t xml:space="preserve"> </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r>
    <w:tr w:rsidR="00A206E6" w:rsidRPr="00A81912" w:rsidTr="00617CDF">
      <w:tc>
        <w:tcPr>
          <w:tcW w:w="5672" w:type="dxa"/>
          <w:tcBorders>
            <w:top w:val="single" w:sz="6" w:space="0" w:color="auto"/>
            <w:lef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81912" w:rsidRDefault="00A206E6" w:rsidP="00617CDF">
          <w:pPr>
            <w:tabs>
              <w:tab w:val="left" w:pos="-1440"/>
              <w:tab w:val="left" w:pos="-720"/>
            </w:tabs>
            <w:suppressAutoHyphens/>
            <w:spacing w:after="111"/>
            <w:rPr>
              <w:rFonts w:ascii="Times New Roman" w:hAnsi="Times New Roman"/>
              <w:b/>
              <w:sz w:val="28"/>
            </w:rPr>
          </w:pP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B841E4" w:rsidRPr="00A81912" w:rsidRDefault="008973C2" w:rsidP="008973C2">
          <w:pPr>
            <w:tabs>
              <w:tab w:val="left" w:pos="-1440"/>
              <w:tab w:val="left" w:pos="-720"/>
            </w:tabs>
            <w:suppressAutoHyphens/>
            <w:spacing w:after="111"/>
            <w:rPr>
              <w:rFonts w:ascii="Times New Roman" w:hAnsi="Times New Roman"/>
            </w:rPr>
          </w:pPr>
          <w:r>
            <w:rPr>
              <w:rFonts w:ascii="Times New Roman" w:hAnsi="Times New Roman"/>
            </w:rPr>
            <w:t>December 2017</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B841E4">
          <w:pPr>
            <w:tabs>
              <w:tab w:val="left" w:pos="-1440"/>
              <w:tab w:val="left" w:pos="-720"/>
              <w:tab w:val="left" w:pos="765"/>
            </w:tabs>
            <w:suppressAutoHyphens/>
            <w:spacing w:after="111"/>
            <w:rPr>
              <w:rFonts w:ascii="Times New Roman" w:hAnsi="Times New Roman"/>
              <w:sz w:val="22"/>
              <w:szCs w:val="22"/>
            </w:rPr>
          </w:pPr>
          <w:r>
            <w:rPr>
              <w:rFonts w:ascii="Times New Roman" w:hAnsi="Times New Roman"/>
              <w:sz w:val="22"/>
              <w:szCs w:val="22"/>
            </w:rPr>
            <w:t xml:space="preserve"> </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A206E6" w:rsidRPr="00A81912" w:rsidRDefault="00A206E6" w:rsidP="00617CDF">
          <w:pPr>
            <w:tabs>
              <w:tab w:val="left" w:pos="-1440"/>
              <w:tab w:val="left" w:pos="-720"/>
            </w:tabs>
            <w:suppressAutoHyphens/>
            <w:spacing w:after="111"/>
            <w:rPr>
              <w:rFonts w:ascii="Times New Roman" w:hAnsi="Times New Roman"/>
            </w:rPr>
          </w:pP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Pr="00A81912" w:rsidRDefault="00A206E6" w:rsidP="008973C2">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008973C2">
            <w:rPr>
              <w:rFonts w:ascii="Times New Roman" w:hAnsi="Times New Roman"/>
              <w:b/>
              <w:i/>
              <w:sz w:val="28"/>
              <w:vertAlign w:val="superscript"/>
            </w:rPr>
            <w:t xml:space="preserve"> </w:t>
          </w:r>
          <w:r w:rsidR="008973C2">
            <w:rPr>
              <w:rFonts w:ascii="Times New Roman" w:hAnsi="Times New Roman"/>
              <w:b/>
              <w:sz w:val="28"/>
            </w:rPr>
            <w:t xml:space="preserve">  Inventory Counts and Valuation</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2" w15:restartNumberingAfterBreak="0">
    <w:nsid w:val="3086350D"/>
    <w:multiLevelType w:val="multilevel"/>
    <w:tmpl w:val="E5B62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5" w15:restartNumberingAfterBreak="0">
    <w:nsid w:val="3DF6352F"/>
    <w:multiLevelType w:val="hybridMultilevel"/>
    <w:tmpl w:val="EE88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65317"/>
    <w:multiLevelType w:val="multilevel"/>
    <w:tmpl w:val="C93A7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10"/>
  </w:num>
  <w:num w:numId="6">
    <w:abstractNumId w:val="8"/>
  </w:num>
  <w:num w:numId="7">
    <w:abstractNumId w:val="0"/>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BD"/>
    <w:rsid w:val="00006232"/>
    <w:rsid w:val="00026907"/>
    <w:rsid w:val="00034FD7"/>
    <w:rsid w:val="00040AFB"/>
    <w:rsid w:val="00042224"/>
    <w:rsid w:val="00042F29"/>
    <w:rsid w:val="00073984"/>
    <w:rsid w:val="0008731F"/>
    <w:rsid w:val="000A4E5E"/>
    <w:rsid w:val="000E7836"/>
    <w:rsid w:val="000E7D7F"/>
    <w:rsid w:val="0012063A"/>
    <w:rsid w:val="001248EF"/>
    <w:rsid w:val="0013650D"/>
    <w:rsid w:val="00147B28"/>
    <w:rsid w:val="00147C25"/>
    <w:rsid w:val="00166C95"/>
    <w:rsid w:val="00181C73"/>
    <w:rsid w:val="0019773B"/>
    <w:rsid w:val="00197844"/>
    <w:rsid w:val="001A25C0"/>
    <w:rsid w:val="001A7F60"/>
    <w:rsid w:val="001D3625"/>
    <w:rsid w:val="002147E1"/>
    <w:rsid w:val="00221E80"/>
    <w:rsid w:val="002453E1"/>
    <w:rsid w:val="00251571"/>
    <w:rsid w:val="002548F3"/>
    <w:rsid w:val="002567DE"/>
    <w:rsid w:val="00281DF4"/>
    <w:rsid w:val="002861B3"/>
    <w:rsid w:val="0029030E"/>
    <w:rsid w:val="002910C4"/>
    <w:rsid w:val="002A1D61"/>
    <w:rsid w:val="002A286F"/>
    <w:rsid w:val="002B2C6F"/>
    <w:rsid w:val="002D18D6"/>
    <w:rsid w:val="002D1E1A"/>
    <w:rsid w:val="002D4619"/>
    <w:rsid w:val="002E1D97"/>
    <w:rsid w:val="002E4788"/>
    <w:rsid w:val="002E567D"/>
    <w:rsid w:val="002F7530"/>
    <w:rsid w:val="00300D6A"/>
    <w:rsid w:val="0030191A"/>
    <w:rsid w:val="00331BA7"/>
    <w:rsid w:val="003458F3"/>
    <w:rsid w:val="0035548A"/>
    <w:rsid w:val="00355935"/>
    <w:rsid w:val="003769AE"/>
    <w:rsid w:val="00380DE0"/>
    <w:rsid w:val="00395139"/>
    <w:rsid w:val="003A1D8F"/>
    <w:rsid w:val="003C4482"/>
    <w:rsid w:val="003C63E4"/>
    <w:rsid w:val="003D1530"/>
    <w:rsid w:val="003E3994"/>
    <w:rsid w:val="003E66B0"/>
    <w:rsid w:val="003F4948"/>
    <w:rsid w:val="00424B73"/>
    <w:rsid w:val="00430194"/>
    <w:rsid w:val="0044006D"/>
    <w:rsid w:val="00441C15"/>
    <w:rsid w:val="00444353"/>
    <w:rsid w:val="0044557C"/>
    <w:rsid w:val="0044747A"/>
    <w:rsid w:val="004478C8"/>
    <w:rsid w:val="00454714"/>
    <w:rsid w:val="00455B68"/>
    <w:rsid w:val="00485A78"/>
    <w:rsid w:val="004932DE"/>
    <w:rsid w:val="00494AFE"/>
    <w:rsid w:val="004A21BD"/>
    <w:rsid w:val="004B77DA"/>
    <w:rsid w:val="004C2B45"/>
    <w:rsid w:val="004D6244"/>
    <w:rsid w:val="004E0963"/>
    <w:rsid w:val="004E235E"/>
    <w:rsid w:val="004E60BB"/>
    <w:rsid w:val="004F5DFF"/>
    <w:rsid w:val="005012D5"/>
    <w:rsid w:val="00506B13"/>
    <w:rsid w:val="00507C47"/>
    <w:rsid w:val="00510720"/>
    <w:rsid w:val="00510ADD"/>
    <w:rsid w:val="00512823"/>
    <w:rsid w:val="00566F18"/>
    <w:rsid w:val="0057219F"/>
    <w:rsid w:val="005A5202"/>
    <w:rsid w:val="005A6421"/>
    <w:rsid w:val="005B2C1F"/>
    <w:rsid w:val="005C7D1C"/>
    <w:rsid w:val="00642953"/>
    <w:rsid w:val="00650BA9"/>
    <w:rsid w:val="00657878"/>
    <w:rsid w:val="00665DC1"/>
    <w:rsid w:val="00671E37"/>
    <w:rsid w:val="006736E2"/>
    <w:rsid w:val="00675D03"/>
    <w:rsid w:val="00686C04"/>
    <w:rsid w:val="006949CA"/>
    <w:rsid w:val="006A76A9"/>
    <w:rsid w:val="006D10D2"/>
    <w:rsid w:val="006E6A76"/>
    <w:rsid w:val="00700C15"/>
    <w:rsid w:val="00703E5B"/>
    <w:rsid w:val="00727135"/>
    <w:rsid w:val="00744608"/>
    <w:rsid w:val="00746A71"/>
    <w:rsid w:val="00760F4F"/>
    <w:rsid w:val="00763F72"/>
    <w:rsid w:val="007644B5"/>
    <w:rsid w:val="00773C4B"/>
    <w:rsid w:val="00787960"/>
    <w:rsid w:val="007D4C08"/>
    <w:rsid w:val="007D4D8D"/>
    <w:rsid w:val="007F23AD"/>
    <w:rsid w:val="00813641"/>
    <w:rsid w:val="00824C73"/>
    <w:rsid w:val="00826020"/>
    <w:rsid w:val="0084652B"/>
    <w:rsid w:val="00852E2F"/>
    <w:rsid w:val="00874256"/>
    <w:rsid w:val="00876B50"/>
    <w:rsid w:val="008837FC"/>
    <w:rsid w:val="00884D61"/>
    <w:rsid w:val="008973C2"/>
    <w:rsid w:val="008A43B3"/>
    <w:rsid w:val="008A58BB"/>
    <w:rsid w:val="008B1AD1"/>
    <w:rsid w:val="008B1B7C"/>
    <w:rsid w:val="008C5B39"/>
    <w:rsid w:val="008D6C46"/>
    <w:rsid w:val="008D7AA7"/>
    <w:rsid w:val="008E02EA"/>
    <w:rsid w:val="008E37AC"/>
    <w:rsid w:val="00916FE4"/>
    <w:rsid w:val="00936357"/>
    <w:rsid w:val="009376A0"/>
    <w:rsid w:val="00943E03"/>
    <w:rsid w:val="00944EC8"/>
    <w:rsid w:val="009455C3"/>
    <w:rsid w:val="00945A0D"/>
    <w:rsid w:val="00946AF4"/>
    <w:rsid w:val="00957549"/>
    <w:rsid w:val="009904DA"/>
    <w:rsid w:val="009947DF"/>
    <w:rsid w:val="009948E5"/>
    <w:rsid w:val="009962F3"/>
    <w:rsid w:val="009A1BD9"/>
    <w:rsid w:val="009A280F"/>
    <w:rsid w:val="009A442B"/>
    <w:rsid w:val="009C305B"/>
    <w:rsid w:val="009D0022"/>
    <w:rsid w:val="00A04B8F"/>
    <w:rsid w:val="00A059FC"/>
    <w:rsid w:val="00A12E1F"/>
    <w:rsid w:val="00A206E6"/>
    <w:rsid w:val="00A26B10"/>
    <w:rsid w:val="00A26EBF"/>
    <w:rsid w:val="00A41E80"/>
    <w:rsid w:val="00A479BD"/>
    <w:rsid w:val="00A62016"/>
    <w:rsid w:val="00A66979"/>
    <w:rsid w:val="00A7215B"/>
    <w:rsid w:val="00A74948"/>
    <w:rsid w:val="00A81912"/>
    <w:rsid w:val="00AE5F90"/>
    <w:rsid w:val="00AF56EB"/>
    <w:rsid w:val="00B04D91"/>
    <w:rsid w:val="00B06D60"/>
    <w:rsid w:val="00B22579"/>
    <w:rsid w:val="00B27AD8"/>
    <w:rsid w:val="00B31A30"/>
    <w:rsid w:val="00B32647"/>
    <w:rsid w:val="00B32953"/>
    <w:rsid w:val="00B56130"/>
    <w:rsid w:val="00B60BDE"/>
    <w:rsid w:val="00B71356"/>
    <w:rsid w:val="00B7610B"/>
    <w:rsid w:val="00B77FA8"/>
    <w:rsid w:val="00B841E4"/>
    <w:rsid w:val="00BA274D"/>
    <w:rsid w:val="00BA600C"/>
    <w:rsid w:val="00BA64E6"/>
    <w:rsid w:val="00BB6A14"/>
    <w:rsid w:val="00BC3E15"/>
    <w:rsid w:val="00BD4A27"/>
    <w:rsid w:val="00BE0439"/>
    <w:rsid w:val="00BE2076"/>
    <w:rsid w:val="00BF3B84"/>
    <w:rsid w:val="00C14799"/>
    <w:rsid w:val="00C32234"/>
    <w:rsid w:val="00C324F1"/>
    <w:rsid w:val="00C44204"/>
    <w:rsid w:val="00C46C3B"/>
    <w:rsid w:val="00C54C28"/>
    <w:rsid w:val="00C57B6B"/>
    <w:rsid w:val="00C66054"/>
    <w:rsid w:val="00C734C3"/>
    <w:rsid w:val="00C77DAE"/>
    <w:rsid w:val="00C9304C"/>
    <w:rsid w:val="00C942B1"/>
    <w:rsid w:val="00C970E2"/>
    <w:rsid w:val="00CB1939"/>
    <w:rsid w:val="00CB3F37"/>
    <w:rsid w:val="00CC04CD"/>
    <w:rsid w:val="00CD4A2B"/>
    <w:rsid w:val="00CF4AC7"/>
    <w:rsid w:val="00CF70DA"/>
    <w:rsid w:val="00D04618"/>
    <w:rsid w:val="00D07C96"/>
    <w:rsid w:val="00D1576B"/>
    <w:rsid w:val="00D24187"/>
    <w:rsid w:val="00D44B83"/>
    <w:rsid w:val="00D4711C"/>
    <w:rsid w:val="00D715FA"/>
    <w:rsid w:val="00D77D31"/>
    <w:rsid w:val="00D8229F"/>
    <w:rsid w:val="00D849A0"/>
    <w:rsid w:val="00D85F7D"/>
    <w:rsid w:val="00DA47C0"/>
    <w:rsid w:val="00DD1769"/>
    <w:rsid w:val="00DF5EEA"/>
    <w:rsid w:val="00E05902"/>
    <w:rsid w:val="00E42005"/>
    <w:rsid w:val="00E47161"/>
    <w:rsid w:val="00E53077"/>
    <w:rsid w:val="00E5741B"/>
    <w:rsid w:val="00E576A1"/>
    <w:rsid w:val="00E623A2"/>
    <w:rsid w:val="00E91195"/>
    <w:rsid w:val="00E94395"/>
    <w:rsid w:val="00EB116A"/>
    <w:rsid w:val="00EF1DCF"/>
    <w:rsid w:val="00EF3B7E"/>
    <w:rsid w:val="00F21F90"/>
    <w:rsid w:val="00F3710B"/>
    <w:rsid w:val="00F62ECF"/>
    <w:rsid w:val="00F63086"/>
    <w:rsid w:val="00F71692"/>
    <w:rsid w:val="00F73BC2"/>
    <w:rsid w:val="00F95362"/>
    <w:rsid w:val="00FA0F0D"/>
    <w:rsid w:val="00FC0417"/>
    <w:rsid w:val="00FD0FEA"/>
    <w:rsid w:val="00FD63F8"/>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8468BD45-4FC4-4C66-B11D-878E4011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BodyText">
    <w:name w:val="Body Text"/>
    <w:basedOn w:val="Normal"/>
    <w:link w:val="BodyTextChar"/>
    <w:semiHidden/>
    <w:rsid w:val="00B04D91"/>
    <w:pPr>
      <w:widowControl/>
      <w:overflowPunct/>
      <w:autoSpaceDE/>
      <w:autoSpaceDN/>
      <w:adjustRightInd/>
      <w:textAlignment w:val="auto"/>
    </w:pPr>
    <w:rPr>
      <w:rFonts w:ascii="Arial" w:hAnsi="Arial" w:cs="Arial"/>
      <w:sz w:val="18"/>
      <w:szCs w:val="24"/>
    </w:rPr>
  </w:style>
  <w:style w:type="character" w:customStyle="1" w:styleId="BodyTextChar">
    <w:name w:val="Body Text Char"/>
    <w:basedOn w:val="DefaultParagraphFont"/>
    <w:link w:val="BodyText"/>
    <w:semiHidden/>
    <w:rsid w:val="00B04D91"/>
    <w:rPr>
      <w:rFonts w:ascii="Arial" w:hAnsi="Arial" w:cs="Arial"/>
      <w:sz w:val="18"/>
      <w:szCs w:val="24"/>
    </w:rPr>
  </w:style>
  <w:style w:type="paragraph" w:styleId="NoSpacing">
    <w:name w:val="No Spacing"/>
    <w:uiPriority w:val="1"/>
    <w:qFormat/>
    <w:rsid w:val="00B04D91"/>
    <w:rPr>
      <w:rFonts w:asciiTheme="minorHAnsi" w:eastAsiaTheme="minorHAnsi" w:hAnsiTheme="minorHAnsi" w:cstheme="minorBidi"/>
      <w:sz w:val="22"/>
      <w:szCs w:val="22"/>
    </w:rPr>
  </w:style>
  <w:style w:type="paragraph" w:styleId="NormalWeb">
    <w:name w:val="Normal (Web)"/>
    <w:basedOn w:val="Normal"/>
    <w:uiPriority w:val="99"/>
    <w:unhideWhenUsed/>
    <w:rsid w:val="00BF3B84"/>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BD4A27"/>
    <w:rPr>
      <w:color w:val="0000FF" w:themeColor="hyperlink"/>
      <w:u w:val="single"/>
    </w:rPr>
  </w:style>
  <w:style w:type="character" w:styleId="FollowedHyperlink">
    <w:name w:val="FollowedHyperlink"/>
    <w:basedOn w:val="DefaultParagraphFont"/>
    <w:uiPriority w:val="99"/>
    <w:semiHidden/>
    <w:unhideWhenUsed/>
    <w:rsid w:val="00034FD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3641"/>
    <w:rPr>
      <w:b/>
      <w:bCs/>
      <w:sz w:val="20"/>
    </w:rPr>
  </w:style>
  <w:style w:type="character" w:customStyle="1" w:styleId="CommentSubjectChar">
    <w:name w:val="Comment Subject Char"/>
    <w:basedOn w:val="CommentTextChar"/>
    <w:link w:val="CommentSubject"/>
    <w:uiPriority w:val="99"/>
    <w:semiHidden/>
    <w:rsid w:val="00813641"/>
    <w:rPr>
      <w:rFonts w:ascii="CG Times" w:hAnsi="CG Times"/>
      <w:b/>
      <w:bCs/>
      <w:sz w:val="24"/>
      <w:lang w:val="en-US" w:eastAsia="en-US" w:bidi="ar-SA"/>
    </w:rPr>
  </w:style>
  <w:style w:type="paragraph" w:styleId="Revision">
    <w:name w:val="Revision"/>
    <w:hidden/>
    <w:uiPriority w:val="99"/>
    <w:semiHidden/>
    <w:rsid w:val="0081364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67447">
      <w:bodyDiv w:val="1"/>
      <w:marLeft w:val="0"/>
      <w:marRight w:val="0"/>
      <w:marTop w:val="0"/>
      <w:marBottom w:val="0"/>
      <w:divBdr>
        <w:top w:val="none" w:sz="0" w:space="0" w:color="auto"/>
        <w:left w:val="none" w:sz="0" w:space="0" w:color="auto"/>
        <w:bottom w:val="none" w:sz="0" w:space="0" w:color="auto"/>
        <w:right w:val="none" w:sz="0" w:space="0" w:color="auto"/>
      </w:divBdr>
      <w:divsChild>
        <w:div w:id="1004553179">
          <w:marLeft w:val="0"/>
          <w:marRight w:val="0"/>
          <w:marTop w:val="0"/>
          <w:marBottom w:val="0"/>
          <w:divBdr>
            <w:top w:val="none" w:sz="0" w:space="0" w:color="auto"/>
            <w:left w:val="none" w:sz="0" w:space="0" w:color="auto"/>
            <w:bottom w:val="none" w:sz="0" w:space="0" w:color="auto"/>
            <w:right w:val="none" w:sz="0" w:space="0" w:color="auto"/>
          </w:divBdr>
          <w:divsChild>
            <w:div w:id="10807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ighton.edu/fileadmin/user/AdminFinance/Controller/docs/Forms/JV_Template_NEW.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AC9-5429-4521-8C24-B4F8577C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2</cp:revision>
  <dcterms:created xsi:type="dcterms:W3CDTF">2018-01-10T19:57:00Z</dcterms:created>
  <dcterms:modified xsi:type="dcterms:W3CDTF">2018-01-10T19:57:00Z</dcterms:modified>
</cp:coreProperties>
</file>