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AEF" w:rsidRPr="004E33CE" w:rsidRDefault="009E4F33" w:rsidP="00BF1262">
      <w:pPr>
        <w:jc w:val="center"/>
        <w:rPr>
          <w:b/>
          <w:bCs/>
          <w:szCs w:val="32"/>
        </w:rPr>
      </w:pPr>
      <w:bookmarkStart w:id="0" w:name="_GoBack"/>
      <w:bookmarkEnd w:id="0"/>
      <w:r>
        <w:rPr>
          <w:b/>
          <w:bCs/>
          <w:sz w:val="32"/>
          <w:szCs w:val="32"/>
        </w:rPr>
        <w:t xml:space="preserve">  </w:t>
      </w:r>
      <w:r w:rsidR="00BF1262">
        <w:rPr>
          <w:b/>
          <w:bCs/>
          <w:sz w:val="32"/>
          <w:szCs w:val="32"/>
        </w:rPr>
        <w:t>What to Expect When You’re Electing</w:t>
      </w:r>
    </w:p>
    <w:p w:rsidR="00464AEF" w:rsidRDefault="00464AEF" w:rsidP="005C3C72">
      <w:pPr>
        <w:jc w:val="center"/>
        <w:rPr>
          <w:b/>
          <w:bCs/>
          <w:sz w:val="32"/>
          <w:szCs w:val="32"/>
        </w:rPr>
      </w:pPr>
    </w:p>
    <w:p w:rsidR="00464AEF" w:rsidRPr="00674EF0" w:rsidRDefault="00464AEF" w:rsidP="005C3C72">
      <w:pPr>
        <w:jc w:val="center"/>
        <w:rPr>
          <w:b/>
          <w:bCs/>
        </w:rPr>
      </w:pPr>
      <w:r w:rsidRPr="00674EF0">
        <w:rPr>
          <w:b/>
          <w:bCs/>
        </w:rPr>
        <w:t>Scott B. Beyer</w:t>
      </w:r>
      <w:r w:rsidR="00674EF0" w:rsidRPr="00674EF0">
        <w:rPr>
          <w:b/>
          <w:bCs/>
        </w:rPr>
        <w:t>, Ph.D.</w:t>
      </w:r>
      <w:r w:rsidR="0034717D">
        <w:rPr>
          <w:b/>
          <w:bCs/>
        </w:rPr>
        <w:t>, CFA</w:t>
      </w:r>
    </w:p>
    <w:p w:rsidR="0042313F" w:rsidRDefault="0042313F" w:rsidP="005C3C72">
      <w:pPr>
        <w:jc w:val="center"/>
        <w:rPr>
          <w:bCs/>
        </w:rPr>
      </w:pPr>
      <w:r>
        <w:rPr>
          <w:bCs/>
        </w:rPr>
        <w:t xml:space="preserve">Director, Center </w:t>
      </w:r>
      <w:r w:rsidR="004E33CE">
        <w:rPr>
          <w:bCs/>
        </w:rPr>
        <w:t>for Risk Management &amp; Insurance</w:t>
      </w:r>
    </w:p>
    <w:p w:rsidR="0042313F" w:rsidRDefault="0042313F" w:rsidP="005C3C72">
      <w:pPr>
        <w:jc w:val="center"/>
        <w:rPr>
          <w:bCs/>
        </w:rPr>
      </w:pPr>
      <w:r>
        <w:rPr>
          <w:bCs/>
        </w:rPr>
        <w:t>Insurance Professor and Associate Professor of</w:t>
      </w:r>
      <w:r w:rsidR="002B7C77">
        <w:rPr>
          <w:bCs/>
        </w:rPr>
        <w:t xml:space="preserve"> Finance </w:t>
      </w:r>
    </w:p>
    <w:p w:rsidR="0042313F" w:rsidRDefault="0042313F" w:rsidP="005C3C72">
      <w:pPr>
        <w:jc w:val="center"/>
        <w:rPr>
          <w:bCs/>
        </w:rPr>
      </w:pPr>
      <w:r>
        <w:rPr>
          <w:bCs/>
        </w:rPr>
        <w:t>College of Business</w:t>
      </w:r>
    </w:p>
    <w:p w:rsidR="00464AEF" w:rsidRPr="00464AEF" w:rsidRDefault="0042313F" w:rsidP="005C3C72">
      <w:pPr>
        <w:jc w:val="center"/>
        <w:rPr>
          <w:bCs/>
        </w:rPr>
      </w:pPr>
      <w:r>
        <w:rPr>
          <w:bCs/>
        </w:rPr>
        <w:t>University of Wisconsin Oshkosh</w:t>
      </w:r>
    </w:p>
    <w:p w:rsidR="00464AEF" w:rsidRDefault="0042313F" w:rsidP="005C3C72">
      <w:pPr>
        <w:jc w:val="center"/>
        <w:rPr>
          <w:bCs/>
        </w:rPr>
      </w:pPr>
      <w:r>
        <w:rPr>
          <w:bCs/>
        </w:rPr>
        <w:t>Oshkosh</w:t>
      </w:r>
      <w:r w:rsidR="00464AEF">
        <w:rPr>
          <w:bCs/>
        </w:rPr>
        <w:t>,</w:t>
      </w:r>
      <w:r>
        <w:rPr>
          <w:bCs/>
        </w:rPr>
        <w:t xml:space="preserve"> WI</w:t>
      </w:r>
      <w:r w:rsidR="00464AEF">
        <w:rPr>
          <w:bCs/>
        </w:rPr>
        <w:t xml:space="preserve"> </w:t>
      </w:r>
      <w:r>
        <w:rPr>
          <w:bCs/>
        </w:rPr>
        <w:t>54901</w:t>
      </w:r>
    </w:p>
    <w:p w:rsidR="00464AEF" w:rsidRDefault="00464AEF" w:rsidP="005C3C72">
      <w:pPr>
        <w:jc w:val="center"/>
        <w:rPr>
          <w:bCs/>
        </w:rPr>
      </w:pPr>
      <w:r>
        <w:rPr>
          <w:bCs/>
        </w:rPr>
        <w:t xml:space="preserve">Tel: </w:t>
      </w:r>
      <w:r w:rsidR="0042313F">
        <w:rPr>
          <w:bCs/>
        </w:rPr>
        <w:t>920</w:t>
      </w:r>
      <w:r>
        <w:rPr>
          <w:bCs/>
        </w:rPr>
        <w:t>-</w:t>
      </w:r>
      <w:r w:rsidR="0042313F">
        <w:rPr>
          <w:bCs/>
        </w:rPr>
        <w:t>424</w:t>
      </w:r>
      <w:r>
        <w:rPr>
          <w:bCs/>
        </w:rPr>
        <w:t>-</w:t>
      </w:r>
      <w:r w:rsidR="0042313F">
        <w:rPr>
          <w:bCs/>
        </w:rPr>
        <w:t>7194</w:t>
      </w:r>
    </w:p>
    <w:p w:rsidR="00464AEF" w:rsidRDefault="00464AEF" w:rsidP="005C3C72">
      <w:pPr>
        <w:jc w:val="center"/>
        <w:rPr>
          <w:bCs/>
        </w:rPr>
      </w:pPr>
      <w:r>
        <w:rPr>
          <w:bCs/>
        </w:rPr>
        <w:t xml:space="preserve">Email: </w:t>
      </w:r>
      <w:hyperlink r:id="rId8" w:history="1">
        <w:r w:rsidR="0042313F" w:rsidRPr="00D00405">
          <w:rPr>
            <w:rStyle w:val="Hyperlink"/>
            <w:bCs/>
          </w:rPr>
          <w:t>beyers@uwosh.edu</w:t>
        </w:r>
      </w:hyperlink>
      <w:r w:rsidR="0042313F">
        <w:rPr>
          <w:bCs/>
        </w:rPr>
        <w:t xml:space="preserve"> </w:t>
      </w:r>
    </w:p>
    <w:p w:rsidR="00464AEF" w:rsidRDefault="00464AEF" w:rsidP="005C3C72">
      <w:pPr>
        <w:jc w:val="center"/>
        <w:rPr>
          <w:bCs/>
        </w:rPr>
      </w:pPr>
    </w:p>
    <w:p w:rsidR="0034717D" w:rsidRPr="00674EF0" w:rsidRDefault="0034717D" w:rsidP="0034717D">
      <w:pPr>
        <w:jc w:val="center"/>
        <w:rPr>
          <w:b/>
          <w:bCs/>
        </w:rPr>
      </w:pPr>
      <w:r>
        <w:rPr>
          <w:b/>
          <w:bCs/>
        </w:rPr>
        <w:t>Luis Garcia-Feijoo, Ph.D., CFA</w:t>
      </w:r>
    </w:p>
    <w:p w:rsidR="0034717D" w:rsidRDefault="0034717D" w:rsidP="0034717D">
      <w:pPr>
        <w:jc w:val="center"/>
        <w:rPr>
          <w:bCs/>
        </w:rPr>
      </w:pPr>
      <w:r>
        <w:rPr>
          <w:bCs/>
        </w:rPr>
        <w:t>Assistant Professor</w:t>
      </w:r>
    </w:p>
    <w:p w:rsidR="0034717D" w:rsidRDefault="0034717D" w:rsidP="0034717D">
      <w:pPr>
        <w:jc w:val="center"/>
        <w:rPr>
          <w:bCs/>
        </w:rPr>
      </w:pPr>
      <w:r>
        <w:rPr>
          <w:bCs/>
        </w:rPr>
        <w:t>Florida Atlantic University</w:t>
      </w:r>
    </w:p>
    <w:p w:rsidR="0034717D" w:rsidRDefault="0034717D" w:rsidP="0034717D">
      <w:pPr>
        <w:jc w:val="center"/>
        <w:rPr>
          <w:bCs/>
        </w:rPr>
      </w:pPr>
      <w:smartTag w:uri="urn:schemas-microsoft-com:office:smarttags" w:element="place">
        <w:smartTag w:uri="urn:schemas-microsoft-com:office:smarttags" w:element="PlaceType">
          <w:r w:rsidRPr="00464AEF">
            <w:rPr>
              <w:bCs/>
            </w:rPr>
            <w:t>College</w:t>
          </w:r>
        </w:smartTag>
        <w:r w:rsidRPr="00464AEF">
          <w:rPr>
            <w:bCs/>
          </w:rPr>
          <w:t xml:space="preserve"> of </w:t>
        </w:r>
        <w:smartTag w:uri="urn:schemas-microsoft-com:office:smarttags" w:element="PlaceName">
          <w:r w:rsidRPr="00464AEF">
            <w:rPr>
              <w:bCs/>
            </w:rPr>
            <w:t>Business</w:t>
          </w:r>
        </w:smartTag>
      </w:smartTag>
    </w:p>
    <w:p w:rsidR="0034717D" w:rsidRDefault="0034717D" w:rsidP="0034717D">
      <w:pPr>
        <w:jc w:val="center"/>
        <w:rPr>
          <w:bCs/>
        </w:rPr>
      </w:pPr>
      <w:r>
        <w:rPr>
          <w:bCs/>
        </w:rPr>
        <w:t>Boca Raton, FL 33431</w:t>
      </w:r>
    </w:p>
    <w:p w:rsidR="0034717D" w:rsidRDefault="0034717D" w:rsidP="0034717D">
      <w:pPr>
        <w:jc w:val="center"/>
        <w:rPr>
          <w:bCs/>
        </w:rPr>
      </w:pPr>
      <w:r>
        <w:rPr>
          <w:bCs/>
        </w:rPr>
        <w:t>Tel: 945-236-1239</w:t>
      </w:r>
    </w:p>
    <w:p w:rsidR="0034717D" w:rsidRDefault="0034717D" w:rsidP="0034717D">
      <w:pPr>
        <w:jc w:val="center"/>
        <w:rPr>
          <w:bCs/>
        </w:rPr>
      </w:pPr>
      <w:r>
        <w:rPr>
          <w:bCs/>
        </w:rPr>
        <w:t xml:space="preserve">Email: </w:t>
      </w:r>
      <w:hyperlink r:id="rId9" w:history="1">
        <w:r w:rsidRPr="009E41ED">
          <w:rPr>
            <w:rStyle w:val="Hyperlink"/>
            <w:bCs/>
          </w:rPr>
          <w:t>luis.garcia@fau.edu</w:t>
        </w:r>
      </w:hyperlink>
      <w:r>
        <w:rPr>
          <w:bCs/>
        </w:rPr>
        <w:t xml:space="preserve"> </w:t>
      </w:r>
    </w:p>
    <w:p w:rsidR="00464AEF" w:rsidRDefault="00464AEF" w:rsidP="005C3C72">
      <w:pPr>
        <w:jc w:val="center"/>
        <w:rPr>
          <w:bCs/>
        </w:rPr>
      </w:pPr>
    </w:p>
    <w:p w:rsidR="00464AEF" w:rsidRPr="00674EF0" w:rsidRDefault="00464AEF" w:rsidP="005C3C72">
      <w:pPr>
        <w:jc w:val="center"/>
        <w:rPr>
          <w:b/>
          <w:bCs/>
        </w:rPr>
      </w:pPr>
      <w:r w:rsidRPr="00674EF0">
        <w:rPr>
          <w:b/>
          <w:bCs/>
        </w:rPr>
        <w:t>Gerald R. Jensen</w:t>
      </w:r>
      <w:r w:rsidR="00BC7F62">
        <w:rPr>
          <w:b/>
          <w:bCs/>
        </w:rPr>
        <w:t>, Ph.D.</w:t>
      </w:r>
      <w:r w:rsidR="0034717D">
        <w:rPr>
          <w:b/>
          <w:bCs/>
        </w:rPr>
        <w:t>, CFA</w:t>
      </w:r>
    </w:p>
    <w:p w:rsidR="0034717D" w:rsidRDefault="004E33CE" w:rsidP="005C3C72">
      <w:pPr>
        <w:jc w:val="center"/>
        <w:rPr>
          <w:bCs/>
        </w:rPr>
      </w:pPr>
      <w:r>
        <w:rPr>
          <w:bCs/>
        </w:rPr>
        <w:t>Board of Trustees Professor</w:t>
      </w:r>
    </w:p>
    <w:p w:rsidR="0034717D" w:rsidRDefault="00BF1262" w:rsidP="005C3C72">
      <w:pPr>
        <w:jc w:val="center"/>
        <w:rPr>
          <w:bCs/>
        </w:rPr>
      </w:pPr>
      <w:r>
        <w:t>Jones</w:t>
      </w:r>
      <w:r w:rsidR="004C763F">
        <w:t>,</w:t>
      </w:r>
      <w:r>
        <w:t xml:space="preserve"> Diedrich</w:t>
      </w:r>
      <w:r w:rsidR="004C763F">
        <w:t>,</w:t>
      </w:r>
      <w:r>
        <w:t xml:space="preserve"> Mennie </w:t>
      </w:r>
      <w:r w:rsidR="002B7C77">
        <w:rPr>
          <w:bCs/>
        </w:rPr>
        <w:t>Professor</w:t>
      </w:r>
      <w:r w:rsidR="0034717D">
        <w:rPr>
          <w:bCs/>
        </w:rPr>
        <w:t xml:space="preserve"> of Finance</w:t>
      </w:r>
    </w:p>
    <w:p w:rsidR="00464AEF" w:rsidRDefault="00464AEF" w:rsidP="005C3C72">
      <w:pPr>
        <w:jc w:val="center"/>
        <w:rPr>
          <w:bCs/>
        </w:rPr>
      </w:pPr>
      <w:r>
        <w:rPr>
          <w:bCs/>
        </w:rPr>
        <w:t>Northern Illinois University</w:t>
      </w:r>
    </w:p>
    <w:p w:rsidR="00464AEF" w:rsidRDefault="00464AEF" w:rsidP="00464AEF">
      <w:pPr>
        <w:jc w:val="center"/>
        <w:rPr>
          <w:bCs/>
        </w:rPr>
      </w:pPr>
      <w:smartTag w:uri="urn:schemas-microsoft-com:office:smarttags" w:element="place">
        <w:smartTag w:uri="urn:schemas-microsoft-com:office:smarttags" w:element="PlaceType">
          <w:r w:rsidRPr="00464AEF">
            <w:rPr>
              <w:bCs/>
            </w:rPr>
            <w:t>College</w:t>
          </w:r>
        </w:smartTag>
        <w:r w:rsidRPr="00464AEF">
          <w:rPr>
            <w:bCs/>
          </w:rPr>
          <w:t xml:space="preserve"> of </w:t>
        </w:r>
        <w:smartTag w:uri="urn:schemas-microsoft-com:office:smarttags" w:element="PlaceName">
          <w:r w:rsidRPr="00464AEF">
            <w:rPr>
              <w:bCs/>
            </w:rPr>
            <w:t>Business</w:t>
          </w:r>
        </w:smartTag>
      </w:smartTag>
    </w:p>
    <w:p w:rsidR="00464AEF" w:rsidRDefault="00464AEF" w:rsidP="00464AEF">
      <w:pPr>
        <w:jc w:val="center"/>
        <w:rPr>
          <w:bCs/>
        </w:rPr>
      </w:pPr>
      <w:r>
        <w:rPr>
          <w:bCs/>
        </w:rPr>
        <w:t>DeKalb, IL 60115</w:t>
      </w:r>
    </w:p>
    <w:p w:rsidR="00464AEF" w:rsidRDefault="00464AEF" w:rsidP="00464AEF">
      <w:pPr>
        <w:jc w:val="center"/>
        <w:rPr>
          <w:bCs/>
        </w:rPr>
      </w:pPr>
      <w:r>
        <w:rPr>
          <w:bCs/>
        </w:rPr>
        <w:t>Tel: 815-753-6399</w:t>
      </w:r>
    </w:p>
    <w:p w:rsidR="00464AEF" w:rsidRDefault="00464AEF" w:rsidP="00464AEF">
      <w:pPr>
        <w:jc w:val="center"/>
        <w:rPr>
          <w:bCs/>
        </w:rPr>
      </w:pPr>
      <w:r>
        <w:rPr>
          <w:bCs/>
        </w:rPr>
        <w:t xml:space="preserve">Email: </w:t>
      </w:r>
      <w:hyperlink r:id="rId10" w:history="1">
        <w:r w:rsidRPr="00CB5A9B">
          <w:rPr>
            <w:rStyle w:val="Hyperlink"/>
            <w:bCs/>
          </w:rPr>
          <w:t>gjensen@niu.edu</w:t>
        </w:r>
      </w:hyperlink>
    </w:p>
    <w:p w:rsidR="00464AEF" w:rsidRDefault="00464AEF" w:rsidP="00464AEF">
      <w:pPr>
        <w:jc w:val="center"/>
        <w:rPr>
          <w:bCs/>
        </w:rPr>
      </w:pPr>
    </w:p>
    <w:p w:rsidR="00674EF0" w:rsidRDefault="00464AEF" w:rsidP="00FF5A05">
      <w:pPr>
        <w:jc w:val="center"/>
        <w:rPr>
          <w:bCs/>
        </w:rPr>
      </w:pPr>
      <w:r w:rsidRPr="00674EF0">
        <w:rPr>
          <w:b/>
          <w:bCs/>
        </w:rPr>
        <w:t xml:space="preserve">Robert R. Johnson, </w:t>
      </w:r>
      <w:r w:rsidR="00674EF0" w:rsidRPr="00674EF0">
        <w:rPr>
          <w:b/>
          <w:bCs/>
        </w:rPr>
        <w:t xml:space="preserve">Ph.D., </w:t>
      </w:r>
      <w:r w:rsidRPr="00674EF0">
        <w:rPr>
          <w:b/>
          <w:bCs/>
        </w:rPr>
        <w:t>CFA</w:t>
      </w:r>
      <w:r w:rsidR="00F26BD1">
        <w:rPr>
          <w:b/>
          <w:bCs/>
        </w:rPr>
        <w:t>, CAIA</w:t>
      </w:r>
    </w:p>
    <w:p w:rsidR="00BF1262" w:rsidRDefault="00F26BD1" w:rsidP="00464AEF">
      <w:pPr>
        <w:jc w:val="center"/>
        <w:rPr>
          <w:bCs/>
        </w:rPr>
      </w:pPr>
      <w:r>
        <w:rPr>
          <w:bCs/>
        </w:rPr>
        <w:t>Professor of Finance</w:t>
      </w:r>
    </w:p>
    <w:p w:rsidR="0042313F" w:rsidRDefault="0042313F" w:rsidP="00464AEF">
      <w:pPr>
        <w:jc w:val="center"/>
        <w:rPr>
          <w:bCs/>
        </w:rPr>
      </w:pPr>
      <w:r>
        <w:rPr>
          <w:bCs/>
        </w:rPr>
        <w:t>Creighton University</w:t>
      </w:r>
    </w:p>
    <w:p w:rsidR="00674EF0" w:rsidRDefault="00BF1262" w:rsidP="00464AEF">
      <w:pPr>
        <w:jc w:val="center"/>
        <w:rPr>
          <w:bCs/>
        </w:rPr>
      </w:pPr>
      <w:r>
        <w:rPr>
          <w:bCs/>
        </w:rPr>
        <w:t>Omaha, NE 68178</w:t>
      </w:r>
    </w:p>
    <w:p w:rsidR="00FA6477" w:rsidRDefault="00BF1262" w:rsidP="00464AEF">
      <w:pPr>
        <w:jc w:val="center"/>
        <w:rPr>
          <w:bCs/>
        </w:rPr>
      </w:pPr>
      <w:r>
        <w:rPr>
          <w:bCs/>
        </w:rPr>
        <w:t>Tel: 434-249-2805</w:t>
      </w:r>
    </w:p>
    <w:p w:rsidR="00BF1262" w:rsidRDefault="00BF1262" w:rsidP="00464AEF">
      <w:pPr>
        <w:jc w:val="center"/>
        <w:rPr>
          <w:bCs/>
        </w:rPr>
      </w:pPr>
      <w:r>
        <w:rPr>
          <w:bCs/>
        </w:rPr>
        <w:t xml:space="preserve">Email: </w:t>
      </w:r>
      <w:hyperlink r:id="rId11" w:history="1">
        <w:r w:rsidR="00F26BD1" w:rsidRPr="00817A01">
          <w:rPr>
            <w:rStyle w:val="Hyperlink"/>
          </w:rPr>
          <w:t>RRJohnson@creighton.edu</w:t>
        </w:r>
      </w:hyperlink>
      <w:r w:rsidR="00F26BD1">
        <w:t xml:space="preserve"> </w:t>
      </w:r>
    </w:p>
    <w:p w:rsidR="00674EF0" w:rsidRDefault="00674EF0" w:rsidP="00464AEF">
      <w:pPr>
        <w:jc w:val="center"/>
        <w:rPr>
          <w:bCs/>
        </w:rPr>
      </w:pPr>
    </w:p>
    <w:p w:rsidR="000B5C7E" w:rsidRDefault="00F26BD1" w:rsidP="000B5C7E">
      <w:pPr>
        <w:jc w:val="center"/>
        <w:rPr>
          <w:b/>
          <w:bCs/>
          <w:i/>
          <w:iCs/>
        </w:rPr>
      </w:pPr>
      <w:r>
        <w:t xml:space="preserve">This Version: October </w:t>
      </w:r>
      <w:r w:rsidR="00A424AA">
        <w:t>12</w:t>
      </w:r>
      <w:r>
        <w:t>, 2012</w:t>
      </w:r>
      <w:r w:rsidR="00464AEF">
        <w:br w:type="page"/>
      </w:r>
      <w:r w:rsidR="0008032E">
        <w:fldChar w:fldCharType="begin"/>
      </w:r>
      <w:r w:rsidR="000B5C7E">
        <w:instrText>tc \l2 "Scott B. Beyer</w:instrText>
      </w:r>
      <w:r w:rsidR="000B5C7E">
        <w:rPr>
          <w:rStyle w:val="FootnoteReference"/>
          <w:vertAlign w:val="superscript"/>
        </w:rPr>
        <w:instrText>***</w:instrText>
      </w:r>
      <w:r w:rsidR="0008032E">
        <w:fldChar w:fldCharType="end"/>
      </w:r>
    </w:p>
    <w:p w:rsidR="00A869FD" w:rsidRPr="00A869FD" w:rsidRDefault="00A869FD" w:rsidP="000B5C7E">
      <w:pPr>
        <w:pStyle w:val="Heading2"/>
        <w:widowControl/>
        <w:rPr>
          <w:sz w:val="32"/>
          <w:szCs w:val="32"/>
        </w:rPr>
      </w:pPr>
      <w:r w:rsidRPr="00A869FD">
        <w:rPr>
          <w:sz w:val="32"/>
          <w:szCs w:val="32"/>
        </w:rPr>
        <w:lastRenderedPageBreak/>
        <w:t>What to Expect When You’re Electing</w:t>
      </w:r>
    </w:p>
    <w:p w:rsidR="00A869FD" w:rsidRPr="00A869FD" w:rsidRDefault="00A869FD" w:rsidP="00A869FD"/>
    <w:p w:rsidR="000B5C7E" w:rsidRDefault="000B5C7E" w:rsidP="000B5C7E">
      <w:pPr>
        <w:pStyle w:val="Heading2"/>
        <w:widowControl/>
        <w:rPr>
          <w:sz w:val="24"/>
        </w:rPr>
      </w:pPr>
      <w:r>
        <w:rPr>
          <w:sz w:val="24"/>
        </w:rPr>
        <w:t>ABSTRACT</w:t>
      </w:r>
    </w:p>
    <w:p w:rsidR="000B5C7E" w:rsidRDefault="000B5C7E" w:rsidP="000B5C7E"/>
    <w:p w:rsidR="008C28E9" w:rsidRDefault="008C28E9" w:rsidP="000B5C7E"/>
    <w:p w:rsidR="000B5C7E" w:rsidRDefault="000B5C7E" w:rsidP="000B5C7E">
      <w:pPr>
        <w:ind w:left="720" w:firstLine="720"/>
        <w:rPr>
          <w:i/>
          <w:iCs/>
        </w:rPr>
      </w:pPr>
    </w:p>
    <w:p w:rsidR="000B5C7E" w:rsidRDefault="00FD37A9" w:rsidP="00A66E9A">
      <w:pPr>
        <w:jc w:val="both"/>
      </w:pPr>
      <w:r>
        <w:rPr>
          <w:i/>
          <w:iCs/>
        </w:rPr>
        <w:tab/>
        <w:t>This paper analyzes security-market returns relative to the political party of the president, the Federal Reserve’s monetary policy, the year of the president’s term, and the state of political gridlock.  Contrary to prior studies, which evaluated the influences separately, we jointly evaluate these variables. Our analysis supports the notion that security returns are significantly related to shifts in Fed monetary policy, political gridlock and the year of the presidential term; however, returns are generally invariant to the president’s political party affiliation. Overall, o</w:t>
      </w:r>
      <w:r w:rsidRPr="003D3964">
        <w:rPr>
          <w:i/>
          <w:iCs/>
        </w:rPr>
        <w:t xml:space="preserve">ur findings suggest that </w:t>
      </w:r>
      <w:r>
        <w:rPr>
          <w:i/>
          <w:iCs/>
        </w:rPr>
        <w:t>investors should</w:t>
      </w:r>
      <w:r w:rsidRPr="003D3964">
        <w:rPr>
          <w:i/>
          <w:iCs/>
        </w:rPr>
        <w:t xml:space="preserve"> focus </w:t>
      </w:r>
      <w:r>
        <w:rPr>
          <w:i/>
          <w:iCs/>
        </w:rPr>
        <w:t xml:space="preserve">less attention on the party of the president and instead more closely monitor </w:t>
      </w:r>
      <w:r w:rsidRPr="003D3964">
        <w:rPr>
          <w:i/>
          <w:iCs/>
        </w:rPr>
        <w:t>Fed actions</w:t>
      </w:r>
      <w:r>
        <w:rPr>
          <w:i/>
          <w:iCs/>
        </w:rPr>
        <w:t xml:space="preserve">. Furthermore, it appears that political harmony should be welcomed by equity investors, but not debt investors. Finally, regardless of the political outcome, if the past serves as a guide, investors may have to wait until year three of the next presidential term to enjoy the fruits of the current </w:t>
      </w:r>
      <w:r w:rsidRPr="003D3964">
        <w:rPr>
          <w:i/>
          <w:iCs/>
        </w:rPr>
        <w:t xml:space="preserve">political </w:t>
      </w:r>
      <w:r>
        <w:rPr>
          <w:i/>
          <w:iCs/>
        </w:rPr>
        <w:t>season.</w:t>
      </w:r>
      <w:r w:rsidR="008C28E9">
        <w:br w:type="page"/>
      </w:r>
    </w:p>
    <w:p w:rsidR="00A869FD" w:rsidRPr="00A869FD" w:rsidRDefault="00A869FD" w:rsidP="00A869FD">
      <w:pPr>
        <w:pStyle w:val="BodyText3"/>
        <w:widowControl/>
        <w:spacing w:line="480" w:lineRule="auto"/>
        <w:jc w:val="center"/>
        <w:rPr>
          <w:b/>
          <w:sz w:val="32"/>
          <w:szCs w:val="32"/>
        </w:rPr>
      </w:pPr>
      <w:r w:rsidRPr="00A869FD">
        <w:rPr>
          <w:b/>
          <w:sz w:val="32"/>
          <w:szCs w:val="32"/>
        </w:rPr>
        <w:lastRenderedPageBreak/>
        <w:t>What to Expect When You’re Electing</w:t>
      </w:r>
    </w:p>
    <w:p w:rsidR="00443BA0" w:rsidRDefault="001B2BAF" w:rsidP="008C28E9">
      <w:pPr>
        <w:pStyle w:val="BodyText3"/>
        <w:widowControl/>
        <w:spacing w:line="480" w:lineRule="auto"/>
        <w:ind w:firstLine="720"/>
      </w:pPr>
      <w:r>
        <w:t xml:space="preserve">As the </w:t>
      </w:r>
      <w:r w:rsidR="006B75D4">
        <w:t>2012</w:t>
      </w:r>
      <w:r>
        <w:t xml:space="preserve"> presidential election approaches</w:t>
      </w:r>
      <w:r w:rsidR="006B75D4">
        <w:t>, the news sites are</w:t>
      </w:r>
      <w:r w:rsidR="00B648F7">
        <w:t xml:space="preserve"> filled with articles</w:t>
      </w:r>
      <w:r w:rsidR="00674EF0">
        <w:t xml:space="preserve"> </w:t>
      </w:r>
      <w:r w:rsidR="00D27FF1">
        <w:t>reviewing</w:t>
      </w:r>
      <w:r w:rsidR="00B648F7">
        <w:t xml:space="preserve"> relationship</w:t>
      </w:r>
      <w:r w:rsidR="00D27FF1">
        <w:t>s</w:t>
      </w:r>
      <w:r w:rsidR="00B648F7">
        <w:t xml:space="preserve"> between security</w:t>
      </w:r>
      <w:r w:rsidR="002809F0">
        <w:t>-</w:t>
      </w:r>
      <w:r w:rsidR="00B648F7">
        <w:t xml:space="preserve">market returns and </w:t>
      </w:r>
      <w:r w:rsidR="00E944E5">
        <w:t xml:space="preserve">the </w:t>
      </w:r>
      <w:r w:rsidR="008C0C79">
        <w:t xml:space="preserve">outcome of </w:t>
      </w:r>
      <w:r w:rsidR="00603BDC">
        <w:t>the election</w:t>
      </w:r>
      <w:r w:rsidR="00E944E5">
        <w:t>.</w:t>
      </w:r>
      <w:r w:rsidR="0014454C" w:rsidRPr="0014454C">
        <w:rPr>
          <w:rStyle w:val="FootnoteReference"/>
          <w:vertAlign w:val="superscript"/>
        </w:rPr>
        <w:footnoteReference w:id="1"/>
      </w:r>
      <w:r w:rsidR="00603BDC">
        <w:t xml:space="preserve"> </w:t>
      </w:r>
      <w:r w:rsidR="00E944E5">
        <w:t xml:space="preserve"> </w:t>
      </w:r>
      <w:r>
        <w:t>Perhaps the most common question is,</w:t>
      </w:r>
      <w:r w:rsidR="00E944E5">
        <w:t xml:space="preserve"> “Which political party is better for the stock market?”</w:t>
      </w:r>
      <w:r w:rsidR="00414207">
        <w:t xml:space="preserve">  Another </w:t>
      </w:r>
      <w:r>
        <w:t>element</w:t>
      </w:r>
      <w:r w:rsidR="00414207">
        <w:t xml:space="preserve"> of the political </w:t>
      </w:r>
      <w:r>
        <w:t>background</w:t>
      </w:r>
      <w:r w:rsidR="00414207">
        <w:t xml:space="preserve"> that </w:t>
      </w:r>
      <w:r>
        <w:t>draws</w:t>
      </w:r>
      <w:r w:rsidR="00414207">
        <w:t xml:space="preserve"> considerable </w:t>
      </w:r>
      <w:r>
        <w:t>interest</w:t>
      </w:r>
      <w:r w:rsidR="00414207">
        <w:t xml:space="preserve"> </w:t>
      </w:r>
      <w:r w:rsidR="00755C5A">
        <w:t xml:space="preserve">around an election </w:t>
      </w:r>
      <w:r w:rsidR="00414207">
        <w:t xml:space="preserve">is the </w:t>
      </w:r>
      <w:r>
        <w:t>impact</w:t>
      </w:r>
      <w:r w:rsidR="00414207">
        <w:t xml:space="preserve"> that political gridlock has on security </w:t>
      </w:r>
      <w:r w:rsidR="00B0450C">
        <w:t>returns</w:t>
      </w:r>
      <w:r w:rsidR="00414207">
        <w:t>.  Gridlock</w:t>
      </w:r>
      <w:r w:rsidR="00B0450C">
        <w:t>, which</w:t>
      </w:r>
      <w:r w:rsidR="00414207">
        <w:t xml:space="preserve"> exists when Congress and the White House are controlled by different parties</w:t>
      </w:r>
      <w:r w:rsidR="00B0450C">
        <w:t xml:space="preserve">, </w:t>
      </w:r>
      <w:r>
        <w:t>is</w:t>
      </w:r>
      <w:r w:rsidR="00B0450C">
        <w:t xml:space="preserve"> </w:t>
      </w:r>
      <w:r>
        <w:t>commonly</w:t>
      </w:r>
      <w:r w:rsidR="0073252E">
        <w:t xml:space="preserve"> </w:t>
      </w:r>
      <w:r w:rsidR="00D27FF1">
        <w:t>identified</w:t>
      </w:r>
      <w:r w:rsidR="002305C0">
        <w:t xml:space="preserve"> as a factor that influences </w:t>
      </w:r>
      <w:r w:rsidR="0073252E">
        <w:t>stock</w:t>
      </w:r>
      <w:r w:rsidR="002809F0">
        <w:t>-</w:t>
      </w:r>
      <w:r w:rsidR="0073252E">
        <w:t>market performance.</w:t>
      </w:r>
      <w:r w:rsidR="00414207">
        <w:t xml:space="preserve">  </w:t>
      </w:r>
      <w:r w:rsidR="00CB3FD3">
        <w:t>Still another heavily analyze</w:t>
      </w:r>
      <w:r w:rsidR="004C763F">
        <w:t>d</w:t>
      </w:r>
      <w:r w:rsidR="00CB3FD3">
        <w:t xml:space="preserve"> </w:t>
      </w:r>
      <w:r w:rsidR="004C763F">
        <w:t>political phenomenon</w:t>
      </w:r>
      <w:r w:rsidR="00CB3FD3">
        <w:t xml:space="preserve"> is the presidential cycle effect.  This anomaly refers to the fact that market returns have been </w:t>
      </w:r>
      <w:r w:rsidR="004C763F">
        <w:t xml:space="preserve">highest </w:t>
      </w:r>
      <w:r w:rsidR="00CB3FD3">
        <w:t xml:space="preserve">during the third year of the presidential term.  </w:t>
      </w:r>
      <w:r w:rsidR="00C31DDE">
        <w:t>Finally, i</w:t>
      </w:r>
      <w:r w:rsidR="00B0450C">
        <w:t xml:space="preserve">n addition to the influence of the political landscape, </w:t>
      </w:r>
      <w:r w:rsidR="00CB3FD3">
        <w:t xml:space="preserve">security market returns are often tied to </w:t>
      </w:r>
      <w:r w:rsidR="00E944E5">
        <w:t>the actions of the Federal Reserve</w:t>
      </w:r>
      <w:r w:rsidR="004C763F">
        <w:t xml:space="preserve"> (Fed)</w:t>
      </w:r>
      <w:r w:rsidR="00E944E5">
        <w:t xml:space="preserve">.  </w:t>
      </w:r>
      <w:r w:rsidR="00CB3FD3">
        <w:t>Within the context of certain</w:t>
      </w:r>
      <w:r w:rsidR="00E944E5">
        <w:t xml:space="preserve"> economic conditions, the </w:t>
      </w:r>
      <w:r w:rsidR="008C0C79">
        <w:t xml:space="preserve">Fed </w:t>
      </w:r>
      <w:r w:rsidR="00E944E5">
        <w:t xml:space="preserve">chairman has been </w:t>
      </w:r>
      <w:r w:rsidR="00CB3FD3">
        <w:t>called</w:t>
      </w:r>
      <w:r w:rsidR="00E944E5">
        <w:t xml:space="preserve"> the second most powerful person on earth, </w:t>
      </w:r>
      <w:r w:rsidR="00BC20F7">
        <w:t>and</w:t>
      </w:r>
      <w:r w:rsidR="00E944E5">
        <w:t xml:space="preserve"> </w:t>
      </w:r>
      <w:r w:rsidR="00CB3FD3">
        <w:t>many analysts would</w:t>
      </w:r>
      <w:r w:rsidR="00E944E5">
        <w:t xml:space="preserve"> argue that this understates the importance of the position.  </w:t>
      </w:r>
    </w:p>
    <w:p w:rsidR="00013409" w:rsidRDefault="00BC20F7" w:rsidP="008C28E9">
      <w:pPr>
        <w:pStyle w:val="BodyText3"/>
        <w:widowControl/>
        <w:spacing w:line="480" w:lineRule="auto"/>
        <w:ind w:firstLine="720"/>
      </w:pPr>
      <w:r>
        <w:t xml:space="preserve">The </w:t>
      </w:r>
      <w:r w:rsidR="00FF5A05">
        <w:t xml:space="preserve">academic </w:t>
      </w:r>
      <w:r>
        <w:t xml:space="preserve">literature is rich with studies that consider the aforementioned political effects and </w:t>
      </w:r>
      <w:r w:rsidR="004C763F">
        <w:t xml:space="preserve">the influence that </w:t>
      </w:r>
      <w:r>
        <w:t xml:space="preserve">monetary policy </w:t>
      </w:r>
      <w:r w:rsidR="004C763F">
        <w:t>have</w:t>
      </w:r>
      <w:r>
        <w:t xml:space="preserve"> </w:t>
      </w:r>
      <w:r w:rsidR="00EC479C">
        <w:t>on</w:t>
      </w:r>
      <w:r>
        <w:t xml:space="preserve"> the markets</w:t>
      </w:r>
      <w:r w:rsidR="00414207">
        <w:t xml:space="preserve">.  </w:t>
      </w:r>
      <w:r>
        <w:t>To date</w:t>
      </w:r>
      <w:r w:rsidR="00B0450C">
        <w:t>, however, these factors ha</w:t>
      </w:r>
      <w:r w:rsidR="0073252E">
        <w:t>ve</w:t>
      </w:r>
      <w:r w:rsidR="00B0450C">
        <w:t xml:space="preserve"> not been </w:t>
      </w:r>
      <w:r w:rsidR="00FF5A05">
        <w:t xml:space="preserve">jointly </w:t>
      </w:r>
      <w:r w:rsidR="00B0450C">
        <w:t xml:space="preserve">considered </w:t>
      </w:r>
      <w:r w:rsidR="00443BA0">
        <w:lastRenderedPageBreak/>
        <w:t xml:space="preserve">when </w:t>
      </w:r>
      <w:r w:rsidR="00B0450C">
        <w:t>examining returns.</w:t>
      </w:r>
      <w:r w:rsidR="00443BA0">
        <w:t xml:space="preserve">  This </w:t>
      </w:r>
      <w:r>
        <w:t>paper</w:t>
      </w:r>
      <w:r w:rsidR="00443BA0">
        <w:t xml:space="preserve"> considers </w:t>
      </w:r>
      <w:r w:rsidR="00FF5A05">
        <w:t xml:space="preserve">several </w:t>
      </w:r>
      <w:r w:rsidR="00443BA0">
        <w:t>dimensions of the political landscape</w:t>
      </w:r>
      <w:r w:rsidR="00FF5A05">
        <w:t xml:space="preserve"> ─ </w:t>
      </w:r>
      <w:r w:rsidR="00443BA0">
        <w:t xml:space="preserve">the party of the </w:t>
      </w:r>
      <w:r w:rsidR="00724BCE">
        <w:t>president</w:t>
      </w:r>
      <w:r>
        <w:t xml:space="preserve">, </w:t>
      </w:r>
      <w:r w:rsidR="00443BA0">
        <w:t xml:space="preserve">the presence </w:t>
      </w:r>
      <w:r w:rsidR="00C31DDE">
        <w:t xml:space="preserve">or absence </w:t>
      </w:r>
      <w:r w:rsidR="00443BA0">
        <w:t>of political</w:t>
      </w:r>
      <w:r w:rsidR="00C31DDE">
        <w:t xml:space="preserve"> </w:t>
      </w:r>
      <w:r w:rsidR="00443BA0">
        <w:t>gridlock,</w:t>
      </w:r>
      <w:r>
        <w:t xml:space="preserve"> </w:t>
      </w:r>
      <w:r w:rsidR="00FF5A05">
        <w:t xml:space="preserve">and </w:t>
      </w:r>
      <w:r>
        <w:t>the presidential term cycle effect</w:t>
      </w:r>
      <w:r w:rsidR="00FF5A05">
        <w:t xml:space="preserve"> ─</w:t>
      </w:r>
      <w:r>
        <w:t xml:space="preserve"> in conjunction</w:t>
      </w:r>
      <w:r w:rsidR="00443BA0">
        <w:t xml:space="preserve"> with Fed monetary policy in examining long-term security returns.  By examining the relationship between security returns and both political and monetary conditions, we provide robust evidence regarding the relationships.</w:t>
      </w:r>
      <w:r w:rsidR="006002FB">
        <w:t xml:space="preserve"> </w:t>
      </w:r>
      <w:r w:rsidR="00AB01F0">
        <w:t xml:space="preserve">Our findings indicate </w:t>
      </w:r>
      <w:r w:rsidR="006B75D4">
        <w:t xml:space="preserve">a recurring and significant third-year effect on equity returns.  However, we note that </w:t>
      </w:r>
      <w:r w:rsidR="002305C0">
        <w:t>Fed</w:t>
      </w:r>
      <w:r w:rsidR="00AB01F0">
        <w:t xml:space="preserve"> policy domina</w:t>
      </w:r>
      <w:r w:rsidR="00755C5A">
        <w:t xml:space="preserve">tes </w:t>
      </w:r>
      <w:r w:rsidR="006B75D4">
        <w:t xml:space="preserve">most </w:t>
      </w:r>
      <w:r w:rsidR="00755C5A">
        <w:t xml:space="preserve">political considerations </w:t>
      </w:r>
      <w:r w:rsidR="00FD37A9">
        <w:t xml:space="preserve">when included </w:t>
      </w:r>
      <w:r w:rsidR="00755C5A">
        <w:t xml:space="preserve">in </w:t>
      </w:r>
      <w:r w:rsidR="00FD37A9">
        <w:t xml:space="preserve">models used to </w:t>
      </w:r>
      <w:r w:rsidR="00FF5A05">
        <w:t>explai</w:t>
      </w:r>
      <w:r w:rsidR="00755C5A">
        <w:t xml:space="preserve">n </w:t>
      </w:r>
      <w:r w:rsidR="00A66E9A">
        <w:t>security returns</w:t>
      </w:r>
      <w:r w:rsidR="006B75D4">
        <w:t>.  Remarkably, the impact of the party of the president in explaining market returns is not robust and most often insignificant in the context of the other factors.  Last</w:t>
      </w:r>
      <w:r w:rsidR="00755C5A">
        <w:t xml:space="preserve">, </w:t>
      </w:r>
      <w:r w:rsidR="00013409">
        <w:t xml:space="preserve">in contrast to popular opinion, </w:t>
      </w:r>
      <w:r w:rsidR="007F621A">
        <w:t xml:space="preserve">we find compelling evidence that </w:t>
      </w:r>
      <w:r w:rsidR="00755C5A">
        <w:t xml:space="preserve">political gridlock is </w:t>
      </w:r>
      <w:r w:rsidR="007F621A">
        <w:t xml:space="preserve">not beneficial to </w:t>
      </w:r>
      <w:r w:rsidR="00010688">
        <w:t>equity</w:t>
      </w:r>
      <w:r w:rsidR="002809F0">
        <w:t>-</w:t>
      </w:r>
      <w:r w:rsidR="007F621A">
        <w:t>market performance.</w:t>
      </w:r>
    </w:p>
    <w:p w:rsidR="008C28E9" w:rsidRDefault="008C28E9" w:rsidP="008C28E9">
      <w:pPr>
        <w:pStyle w:val="BodyText3"/>
        <w:widowControl/>
        <w:spacing w:line="480" w:lineRule="auto"/>
        <w:rPr>
          <w:b/>
        </w:rPr>
      </w:pPr>
    </w:p>
    <w:p w:rsidR="00EF42E7" w:rsidRPr="00AB01F0" w:rsidRDefault="00AB01F0" w:rsidP="008712FC">
      <w:pPr>
        <w:pStyle w:val="BodyText3"/>
        <w:widowControl/>
        <w:spacing w:line="480" w:lineRule="auto"/>
        <w:rPr>
          <w:b/>
        </w:rPr>
      </w:pPr>
      <w:r w:rsidRPr="00AB01F0">
        <w:rPr>
          <w:b/>
        </w:rPr>
        <w:t>Previous Evidence</w:t>
      </w:r>
    </w:p>
    <w:p w:rsidR="005517B0" w:rsidRDefault="0073252E" w:rsidP="008C28E9">
      <w:pPr>
        <w:pStyle w:val="BodyText3"/>
        <w:widowControl/>
        <w:spacing w:line="480" w:lineRule="auto"/>
      </w:pPr>
      <w:r>
        <w:rPr>
          <w:b/>
        </w:rPr>
        <w:tab/>
      </w:r>
      <w:r w:rsidRPr="0073252E">
        <w:t>The</w:t>
      </w:r>
      <w:r>
        <w:t xml:space="preserve"> </w:t>
      </w:r>
      <w:r w:rsidR="001A77FF">
        <w:t xml:space="preserve">theoretical </w:t>
      </w:r>
      <w:r>
        <w:t xml:space="preserve">motivation for </w:t>
      </w:r>
      <w:r w:rsidR="00F16557">
        <w:t xml:space="preserve">studying </w:t>
      </w:r>
      <w:r w:rsidR="00884A10">
        <w:t>security</w:t>
      </w:r>
      <w:r>
        <w:t xml:space="preserve"> returns relative to monetary conditions and the political </w:t>
      </w:r>
      <w:r w:rsidR="00F16557">
        <w:t>structure</w:t>
      </w:r>
      <w:r>
        <w:t xml:space="preserve"> is obvious.  </w:t>
      </w:r>
      <w:r w:rsidR="00FD1787">
        <w:t xml:space="preserve">Specifically, </w:t>
      </w:r>
      <w:r w:rsidR="00FA1B79">
        <w:t>numerous studies</w:t>
      </w:r>
      <w:r w:rsidR="00013409">
        <w:t xml:space="preserve"> </w:t>
      </w:r>
      <w:r w:rsidR="002305C0">
        <w:t xml:space="preserve">link </w:t>
      </w:r>
      <w:r w:rsidR="00FD1787">
        <w:t xml:space="preserve">political and monetary conditions to the state of the </w:t>
      </w:r>
      <w:r w:rsidR="00DF430B">
        <w:t>macro economy</w:t>
      </w:r>
      <w:r w:rsidR="00674EF0">
        <w:t xml:space="preserve"> (e.g.</w:t>
      </w:r>
      <w:r w:rsidR="00FF5A05">
        <w:t>,</w:t>
      </w:r>
      <w:r w:rsidR="00674EF0">
        <w:t xml:space="preserve"> Friedman and Schwartz [</w:t>
      </w:r>
      <w:r w:rsidR="00FD1787">
        <w:t>1963</w:t>
      </w:r>
      <w:r w:rsidR="00674EF0">
        <w:t>]</w:t>
      </w:r>
      <w:r w:rsidR="00FD1787">
        <w:t xml:space="preserve">, Alesina, Roubini and Cohen </w:t>
      </w:r>
      <w:r w:rsidR="00674EF0">
        <w:t>[</w:t>
      </w:r>
      <w:r w:rsidR="00FD1787">
        <w:t>1997</w:t>
      </w:r>
      <w:r w:rsidR="00674EF0">
        <w:t>]</w:t>
      </w:r>
      <w:r w:rsidR="00E510CF">
        <w:t>,</w:t>
      </w:r>
      <w:r w:rsidR="00FD1787">
        <w:t xml:space="preserve"> </w:t>
      </w:r>
      <w:r w:rsidR="00477575">
        <w:t xml:space="preserve">and </w:t>
      </w:r>
      <w:r w:rsidR="00FD1787">
        <w:t xml:space="preserve">Drazen </w:t>
      </w:r>
      <w:r w:rsidR="00674EF0">
        <w:t>[</w:t>
      </w:r>
      <w:r w:rsidR="00FD1787">
        <w:t>2000</w:t>
      </w:r>
      <w:r w:rsidR="00674EF0">
        <w:t>]</w:t>
      </w:r>
      <w:r w:rsidR="00FD1787">
        <w:t xml:space="preserve">). </w:t>
      </w:r>
      <w:r w:rsidR="00F416EF">
        <w:t xml:space="preserve"> Related studies</w:t>
      </w:r>
      <w:r w:rsidR="00013409">
        <w:t>, discussed below,</w:t>
      </w:r>
      <w:r w:rsidR="00F416EF">
        <w:t xml:space="preserve"> complete the link by showing a corresponding relationship </w:t>
      </w:r>
      <w:r w:rsidR="002F4E3E">
        <w:t xml:space="preserve">exists </w:t>
      </w:r>
      <w:r w:rsidR="00F416EF">
        <w:t xml:space="preserve">between security returns </w:t>
      </w:r>
      <w:r w:rsidR="001A77FF">
        <w:t>a</w:t>
      </w:r>
      <w:r w:rsidR="00FD1787">
        <w:t>nd</w:t>
      </w:r>
      <w:r w:rsidR="001A77FF">
        <w:t xml:space="preserve"> </w:t>
      </w:r>
      <w:r w:rsidR="00F416EF">
        <w:t xml:space="preserve">political and </w:t>
      </w:r>
      <w:r w:rsidR="001A77FF">
        <w:lastRenderedPageBreak/>
        <w:t xml:space="preserve">monetary </w:t>
      </w:r>
      <w:r w:rsidR="001C3324">
        <w:t>conditions</w:t>
      </w:r>
      <w:r w:rsidR="00F416EF">
        <w:t xml:space="preserve">.  </w:t>
      </w:r>
      <w:r w:rsidR="005517B0">
        <w:t xml:space="preserve">Together these papers </w:t>
      </w:r>
      <w:r w:rsidR="006D70F8">
        <w:t xml:space="preserve">put </w:t>
      </w:r>
      <w:r w:rsidR="005517B0">
        <w:t xml:space="preserve">forward the notion that </w:t>
      </w:r>
      <w:r w:rsidR="006D70F8">
        <w:t xml:space="preserve">both </w:t>
      </w:r>
      <w:r w:rsidR="005517B0">
        <w:t xml:space="preserve">monetary policy and politics influence the markets.  </w:t>
      </w:r>
    </w:p>
    <w:p w:rsidR="0073252E" w:rsidRPr="0073252E" w:rsidRDefault="00FF5A05" w:rsidP="005517B0">
      <w:pPr>
        <w:pStyle w:val="BodyText3"/>
        <w:widowControl/>
        <w:spacing w:line="480" w:lineRule="auto"/>
        <w:ind w:firstLine="720"/>
      </w:pPr>
      <w:r>
        <w:t>F</w:t>
      </w:r>
      <w:r w:rsidR="002F4E3E">
        <w:t xml:space="preserve">iscal and monetary </w:t>
      </w:r>
      <w:r w:rsidR="00A230CA">
        <w:t>policies represent</w:t>
      </w:r>
      <w:r w:rsidR="002F4E3E">
        <w:t xml:space="preserve"> </w:t>
      </w:r>
      <w:r w:rsidR="0062459C">
        <w:t xml:space="preserve">fundamental variables </w:t>
      </w:r>
      <w:r w:rsidR="0090097A">
        <w:t>believed</w:t>
      </w:r>
      <w:r w:rsidR="0062459C">
        <w:t xml:space="preserve"> to impact general business conditions, and thus, security returns.</w:t>
      </w:r>
      <w:r w:rsidR="005517B0">
        <w:t xml:space="preserve">  The President, the</w:t>
      </w:r>
      <w:r w:rsidR="0094478A">
        <w:t xml:space="preserve"> U.S. Congress, and the</w:t>
      </w:r>
      <w:r w:rsidR="005517B0">
        <w:t xml:space="preserve"> </w:t>
      </w:r>
      <w:r w:rsidR="0094478A">
        <w:t xml:space="preserve">Fed </w:t>
      </w:r>
      <w:r w:rsidR="005517B0">
        <w:t xml:space="preserve">have significant influence </w:t>
      </w:r>
      <w:r>
        <w:t>i</w:t>
      </w:r>
      <w:r w:rsidR="005517B0">
        <w:t>n implementing fiscal and monetary policy.</w:t>
      </w:r>
      <w:r w:rsidR="0062459C">
        <w:t xml:space="preserve">  While the two policies are set by independent bodies, they are frequently applied in a coordinated manner to achieve an economic objective.</w:t>
      </w:r>
      <w:r w:rsidR="002F4E3E">
        <w:t xml:space="preserve">  The following </w:t>
      </w:r>
      <w:r w:rsidR="005517B0">
        <w:t>section</w:t>
      </w:r>
      <w:r w:rsidR="002F4E3E">
        <w:t xml:space="preserve"> detail</w:t>
      </w:r>
      <w:r w:rsidR="005517B0">
        <w:t>s</w:t>
      </w:r>
      <w:r w:rsidR="002F4E3E">
        <w:t xml:space="preserve"> </w:t>
      </w:r>
      <w:r w:rsidR="006C729B">
        <w:t>past</w:t>
      </w:r>
      <w:r w:rsidR="002F4E3E">
        <w:t xml:space="preserve"> studies that </w:t>
      </w:r>
      <w:r w:rsidR="002305C0">
        <w:t>relate</w:t>
      </w:r>
      <w:r w:rsidR="002F4E3E">
        <w:t xml:space="preserve"> security returns to </w:t>
      </w:r>
      <w:r w:rsidR="0090097A">
        <w:t>the political landscape</w:t>
      </w:r>
      <w:r w:rsidR="006A112C">
        <w:t>,</w:t>
      </w:r>
      <w:r w:rsidR="002F4E3E">
        <w:t xml:space="preserve"> and </w:t>
      </w:r>
      <w:r w:rsidR="006A112C">
        <w:t xml:space="preserve">separately, security returns to </w:t>
      </w:r>
      <w:r w:rsidR="0090097A">
        <w:t>monetary policy</w:t>
      </w:r>
      <w:r w:rsidR="002F4E3E">
        <w:t xml:space="preserve">.  </w:t>
      </w:r>
      <w:r w:rsidR="001A77FF">
        <w:t xml:space="preserve">  </w:t>
      </w:r>
      <w:r w:rsidR="0073252E" w:rsidRPr="0073252E">
        <w:t xml:space="preserve"> </w:t>
      </w:r>
    </w:p>
    <w:p w:rsidR="006A112C" w:rsidRDefault="006C1A1A" w:rsidP="008C28E9">
      <w:pPr>
        <w:pStyle w:val="BodyText3"/>
        <w:widowControl/>
        <w:spacing w:line="480" w:lineRule="auto"/>
        <w:ind w:firstLine="720"/>
      </w:pPr>
      <w:r>
        <w:t>Some of the first political</w:t>
      </w:r>
      <w:r w:rsidR="006C5AF8">
        <w:t>ly-</w:t>
      </w:r>
      <w:r>
        <w:t>based studies</w:t>
      </w:r>
      <w:r w:rsidR="00813862">
        <w:t xml:space="preserve"> </w:t>
      </w:r>
      <w:r w:rsidR="00FE3C92">
        <w:t xml:space="preserve">investigate the short-term, or announcement period, reaction of the security markets to </w:t>
      </w:r>
      <w:r w:rsidR="007F621A">
        <w:t>p</w:t>
      </w:r>
      <w:r w:rsidR="00FE3C92">
        <w:t>residential elections and Fed policy announcements (e.g.</w:t>
      </w:r>
      <w:r w:rsidR="00FF5A05">
        <w:t>,</w:t>
      </w:r>
      <w:r w:rsidR="00FE3C92">
        <w:t xml:space="preserve"> Niederhoffer, Gibbs and Bullock </w:t>
      </w:r>
      <w:r w:rsidR="00AB6C37">
        <w:t>[</w:t>
      </w:r>
      <w:r w:rsidR="00FE3C92">
        <w:t>197</w:t>
      </w:r>
      <w:r w:rsidR="0039136B">
        <w:t>0</w:t>
      </w:r>
      <w:r w:rsidR="00AB6C37">
        <w:t>]</w:t>
      </w:r>
      <w:r w:rsidR="00AF1A7B">
        <w:t>, Reilly and Drzycimski [1976],</w:t>
      </w:r>
      <w:r w:rsidR="00FE3C92">
        <w:t xml:space="preserve"> and Smirlock and Yawitz </w:t>
      </w:r>
      <w:r w:rsidR="00AB6C37">
        <w:t>[</w:t>
      </w:r>
      <w:r w:rsidR="00FE3C92">
        <w:t>1985</w:t>
      </w:r>
      <w:r w:rsidR="00AB6C37">
        <w:t>]</w:t>
      </w:r>
      <w:r w:rsidR="00FE3C92">
        <w:t xml:space="preserve">).  These studies </w:t>
      </w:r>
      <w:r w:rsidR="00A97A32">
        <w:t>investigated the</w:t>
      </w:r>
      <w:r w:rsidR="00FE3C92">
        <w:t xml:space="preserve"> market's </w:t>
      </w:r>
      <w:r w:rsidR="00B37F4F">
        <w:t xml:space="preserve">short-term </w:t>
      </w:r>
      <w:r w:rsidR="00FE3C92">
        <w:t xml:space="preserve">assessment of </w:t>
      </w:r>
      <w:r w:rsidR="00120DDB">
        <w:t>a</w:t>
      </w:r>
      <w:r w:rsidR="006A112C">
        <w:t xml:space="preserve"> change in </w:t>
      </w:r>
      <w:r w:rsidR="002305C0">
        <w:t xml:space="preserve">political or monetary </w:t>
      </w:r>
      <w:r w:rsidR="006A112C">
        <w:t xml:space="preserve">conditions. </w:t>
      </w:r>
      <w:r w:rsidR="00FE3C92">
        <w:t xml:space="preserve"> </w:t>
      </w:r>
      <w:r w:rsidR="00C36C28">
        <w:t>I</w:t>
      </w:r>
      <w:r w:rsidR="00FE3C92">
        <w:t xml:space="preserve">n contrast, </w:t>
      </w:r>
      <w:r w:rsidR="006C5AF8">
        <w:t>our</w:t>
      </w:r>
      <w:r w:rsidR="00FE3C92">
        <w:t xml:space="preserve"> analysis focuse</w:t>
      </w:r>
      <w:r>
        <w:t xml:space="preserve">s on the long-term implications </w:t>
      </w:r>
      <w:r w:rsidR="00FE3C92">
        <w:t xml:space="preserve">of </w:t>
      </w:r>
      <w:r w:rsidR="00120DDB">
        <w:t>shifts</w:t>
      </w:r>
      <w:r w:rsidR="006A112C">
        <w:t xml:space="preserve"> in </w:t>
      </w:r>
      <w:r w:rsidR="00FE3C92">
        <w:t xml:space="preserve">political and monetary conditions.  </w:t>
      </w:r>
      <w:r w:rsidR="00C31DDE">
        <w:t>B</w:t>
      </w:r>
      <w:r w:rsidR="0062459C">
        <w:t xml:space="preserve">y considering long-term security </w:t>
      </w:r>
      <w:r w:rsidR="00AF1A7B">
        <w:t>returns</w:t>
      </w:r>
      <w:r w:rsidR="00FE3C92">
        <w:t xml:space="preserve"> our ana</w:t>
      </w:r>
      <w:r w:rsidR="006A112C">
        <w:t xml:space="preserve">lysis </w:t>
      </w:r>
      <w:r w:rsidR="0062459C">
        <w:t xml:space="preserve">is more likely to </w:t>
      </w:r>
      <w:r w:rsidR="00AF1A7B">
        <w:t>identify</w:t>
      </w:r>
      <w:r w:rsidR="0062459C">
        <w:t xml:space="preserve"> </w:t>
      </w:r>
      <w:r w:rsidR="006A112C">
        <w:t>return</w:t>
      </w:r>
      <w:r w:rsidR="0062459C">
        <w:t xml:space="preserve"> patterns</w:t>
      </w:r>
      <w:r w:rsidR="006A112C">
        <w:t xml:space="preserve"> that correspond with </w:t>
      </w:r>
      <w:r w:rsidR="00C36C28">
        <w:t xml:space="preserve">the ramifications of shifts in </w:t>
      </w:r>
      <w:r w:rsidR="001C3324">
        <w:t xml:space="preserve">monetary </w:t>
      </w:r>
      <w:r w:rsidR="000642EF">
        <w:t>policy and political structure.</w:t>
      </w:r>
      <w:r w:rsidR="006A112C">
        <w:t xml:space="preserve"> </w:t>
      </w:r>
      <w:r w:rsidR="00FE3C92">
        <w:t xml:space="preserve"> </w:t>
      </w:r>
    </w:p>
    <w:p w:rsidR="009E5661" w:rsidRDefault="007C409D" w:rsidP="008C28E9">
      <w:pPr>
        <w:pStyle w:val="BodyText3"/>
        <w:widowControl/>
        <w:spacing w:line="480" w:lineRule="auto"/>
        <w:ind w:firstLine="720"/>
      </w:pPr>
      <w:r>
        <w:t>Numerous</w:t>
      </w:r>
      <w:r w:rsidR="00553387">
        <w:t xml:space="preserve"> studies identify prevalent patterns in </w:t>
      </w:r>
      <w:r w:rsidR="006A112C">
        <w:t xml:space="preserve">long-term security returns </w:t>
      </w:r>
      <w:r w:rsidR="00553387">
        <w:t xml:space="preserve">associated with </w:t>
      </w:r>
      <w:r w:rsidR="00DF009B">
        <w:t xml:space="preserve">the party of the </w:t>
      </w:r>
      <w:r w:rsidR="00724BCE">
        <w:t>president</w:t>
      </w:r>
      <w:r w:rsidR="00DF009B">
        <w:t xml:space="preserve">.  In particular, these </w:t>
      </w:r>
      <w:r w:rsidR="0008329F">
        <w:t xml:space="preserve">studies show that </w:t>
      </w:r>
      <w:r w:rsidR="0008329F">
        <w:lastRenderedPageBreak/>
        <w:t>stock returns</w:t>
      </w:r>
      <w:r w:rsidR="00DF009B">
        <w:t xml:space="preserve"> are substantially higher during Democratic relative to Republican administrations.  For example, Santa-Clara and Valkanov </w:t>
      </w:r>
      <w:r w:rsidR="00AB6C37">
        <w:t>[</w:t>
      </w:r>
      <w:r w:rsidR="00DF009B">
        <w:t>2003</w:t>
      </w:r>
      <w:r w:rsidR="00AB6C37">
        <w:t>]</w:t>
      </w:r>
      <w:r w:rsidR="00DF009B">
        <w:t xml:space="preserve"> report that excess stock returns</w:t>
      </w:r>
      <w:r w:rsidR="0062459C">
        <w:t xml:space="preserve"> (stock returns less the T-bill</w:t>
      </w:r>
      <w:r w:rsidR="00280EAC">
        <w:t xml:space="preserve"> rate</w:t>
      </w:r>
      <w:r w:rsidR="0062459C">
        <w:t>)</w:t>
      </w:r>
      <w:r w:rsidR="00DF009B">
        <w:t xml:space="preserve"> are </w:t>
      </w:r>
      <w:r w:rsidR="00AF1A7B">
        <w:t>nine</w:t>
      </w:r>
      <w:r w:rsidR="00DF009B">
        <w:t xml:space="preserve"> percent per year higher during Democratic relative to Republican administrations.  </w:t>
      </w:r>
      <w:r w:rsidR="00F103E7">
        <w:t>Further, t</w:t>
      </w:r>
      <w:r w:rsidR="00DF009B">
        <w:t>he</w:t>
      </w:r>
      <w:r w:rsidR="00F103E7">
        <w:t xml:space="preserve"> authors find that the return difference for small stocks is of greater magnitude, reaching 22 percent for the smallest size-decile.</w:t>
      </w:r>
      <w:r w:rsidR="00F103E7" w:rsidRPr="00DA66FE">
        <w:rPr>
          <w:rStyle w:val="FootnoteReference"/>
          <w:vertAlign w:val="superscript"/>
        </w:rPr>
        <w:footnoteReference w:id="2"/>
      </w:r>
      <w:r w:rsidR="00DA66FE">
        <w:t xml:space="preserve"> </w:t>
      </w:r>
      <w:r w:rsidR="00F103E7">
        <w:t xml:space="preserve"> </w:t>
      </w:r>
      <w:r w:rsidR="00DA66FE">
        <w:t xml:space="preserve">Santa-Clara and Valkanov </w:t>
      </w:r>
      <w:r w:rsidR="006611ED">
        <w:t>show</w:t>
      </w:r>
      <w:r w:rsidR="00DA66FE">
        <w:t xml:space="preserve"> that the higher returns earned during Democratic administrations cannot be explained as compensation for higher risk since the volatility of returns is actually </w:t>
      </w:r>
      <w:r w:rsidR="009E4628">
        <w:t>greater</w:t>
      </w:r>
      <w:r w:rsidR="00DA66FE">
        <w:t xml:space="preserve"> during Republican administrations.  </w:t>
      </w:r>
      <w:r w:rsidR="001C3324">
        <w:t>Finally, t</w:t>
      </w:r>
      <w:r w:rsidR="00DA66FE">
        <w:t>he authors show that the return differences persist even after applying several robustness checks and controlling for changes in business conditions; they conclude th</w:t>
      </w:r>
      <w:r w:rsidR="009E5661">
        <w:t>at their findings represent a political cycle puzzle.</w:t>
      </w:r>
    </w:p>
    <w:p w:rsidR="00DA66FE" w:rsidRDefault="009E5661" w:rsidP="008C28E9">
      <w:pPr>
        <w:pStyle w:val="BodyText3"/>
        <w:widowControl/>
        <w:spacing w:line="480" w:lineRule="auto"/>
        <w:ind w:firstLine="720"/>
      </w:pPr>
      <w:r>
        <w:t xml:space="preserve">While </w:t>
      </w:r>
      <w:r w:rsidR="001C3324">
        <w:t xml:space="preserve">the </w:t>
      </w:r>
      <w:r>
        <w:t xml:space="preserve">stock market </w:t>
      </w:r>
      <w:r w:rsidR="001C3324">
        <w:t xml:space="preserve">has generally prospered </w:t>
      </w:r>
      <w:r>
        <w:t xml:space="preserve">during Democratic administrations, </w:t>
      </w:r>
      <w:r w:rsidR="009945F4">
        <w:t xml:space="preserve">Beyer, Jensen </w:t>
      </w:r>
      <w:r w:rsidR="001F342A">
        <w:t xml:space="preserve">and </w:t>
      </w:r>
      <w:r w:rsidR="009945F4">
        <w:t xml:space="preserve">Johnson [2004] </w:t>
      </w:r>
      <w:r>
        <w:t xml:space="preserve">show that bond returns exhibit superior performance during Republican administrations.  Specifically, they find </w:t>
      </w:r>
      <w:r w:rsidR="001C3324">
        <w:t xml:space="preserve">bond </w:t>
      </w:r>
      <w:r>
        <w:t xml:space="preserve">returns are over </w:t>
      </w:r>
      <w:r w:rsidR="009945F4">
        <w:t>twice</w:t>
      </w:r>
      <w:r>
        <w:t xml:space="preserve"> as high during Republican relative to Democratic administrations.   </w:t>
      </w:r>
      <w:r w:rsidR="00DA66FE">
        <w:t xml:space="preserve">    </w:t>
      </w:r>
      <w:r w:rsidR="00F103E7">
        <w:t xml:space="preserve"> </w:t>
      </w:r>
    </w:p>
    <w:p w:rsidR="00997AB2" w:rsidRDefault="00387697" w:rsidP="008C28E9">
      <w:pPr>
        <w:pStyle w:val="BodyTextIndent"/>
        <w:spacing w:line="480" w:lineRule="auto"/>
      </w:pPr>
      <w:r>
        <w:t xml:space="preserve">Political gridlock represents another dimension of the political landscape </w:t>
      </w:r>
      <w:r w:rsidR="009945F4">
        <w:t>that</w:t>
      </w:r>
      <w:r>
        <w:t xml:space="preserve"> is </w:t>
      </w:r>
      <w:r w:rsidR="009945F4">
        <w:t>often</w:t>
      </w:r>
      <w:r>
        <w:t xml:space="preserve"> associated with economic conditions and security returns.  </w:t>
      </w:r>
      <w:r w:rsidR="004B3DF1">
        <w:t xml:space="preserve">The </w:t>
      </w:r>
      <w:r>
        <w:t xml:space="preserve">economic </w:t>
      </w:r>
      <w:r w:rsidR="004B3DF1">
        <w:t>rationale</w:t>
      </w:r>
      <w:r>
        <w:t xml:space="preserve"> that links </w:t>
      </w:r>
      <w:r w:rsidR="004B3DF1">
        <w:t xml:space="preserve">gridlock </w:t>
      </w:r>
      <w:r>
        <w:t xml:space="preserve">to the financial markets is that </w:t>
      </w:r>
      <w:r w:rsidR="00B8152C">
        <w:t xml:space="preserve">significant </w:t>
      </w:r>
      <w:r>
        <w:lastRenderedPageBreak/>
        <w:t>f</w:t>
      </w:r>
      <w:r w:rsidR="004B3DF1">
        <w:t xml:space="preserve">iscal policy </w:t>
      </w:r>
      <w:r w:rsidR="009945F4">
        <w:t>actions</w:t>
      </w:r>
      <w:r w:rsidR="00B8152C">
        <w:t>, which tend to disrupt the financial markets,</w:t>
      </w:r>
      <w:r w:rsidR="009945F4">
        <w:t xml:space="preserve"> are</w:t>
      </w:r>
      <w:r w:rsidR="004B3DF1">
        <w:t xml:space="preserve"> more likely </w:t>
      </w:r>
      <w:r w:rsidR="000E21C1">
        <w:t xml:space="preserve">to occur </w:t>
      </w:r>
      <w:r w:rsidR="009945F4">
        <w:t>during</w:t>
      </w:r>
      <w:r w:rsidR="00B5211F">
        <w:t xml:space="preserve"> political harmony</w:t>
      </w:r>
      <w:r w:rsidR="00EC06E2">
        <w:t xml:space="preserve"> than </w:t>
      </w:r>
      <w:r w:rsidR="009945F4">
        <w:t>during</w:t>
      </w:r>
      <w:r w:rsidR="00EC06E2">
        <w:t xml:space="preserve"> a state of political gridlock</w:t>
      </w:r>
      <w:r w:rsidR="007E3128">
        <w:t>.</w:t>
      </w:r>
      <w:r w:rsidR="00EC06E2" w:rsidRPr="00EC06E2">
        <w:rPr>
          <w:rStyle w:val="FootnoteReference"/>
          <w:vertAlign w:val="superscript"/>
        </w:rPr>
        <w:footnoteReference w:id="3"/>
      </w:r>
      <w:r w:rsidR="002B043C">
        <w:t xml:space="preserve">  </w:t>
      </w:r>
      <w:r w:rsidR="00022B6C">
        <w:t>Just before the</w:t>
      </w:r>
      <w:r w:rsidR="00B66D14">
        <w:t xml:space="preserve"> 2000 election, a </w:t>
      </w:r>
      <w:r w:rsidR="00B66D14">
        <w:rPr>
          <w:i/>
          <w:iCs/>
        </w:rPr>
        <w:t>U.S. News &amp; World Report</w:t>
      </w:r>
      <w:r w:rsidR="00B66D14">
        <w:t xml:space="preserve"> article by Butler [2000] quoted Edward Yardeni, chief investment strategist at Deutsche Banc Securities</w:t>
      </w:r>
      <w:r w:rsidR="000E21C1">
        <w:t xml:space="preserve"> as stating that</w:t>
      </w:r>
      <w:r w:rsidR="00B66D14">
        <w:t xml:space="preserve">, “Gridlock has been very good for the stock market.”  </w:t>
      </w:r>
      <w:r w:rsidR="00A337C7">
        <w:t xml:space="preserve">Several </w:t>
      </w:r>
      <w:r w:rsidR="002B043C">
        <w:t xml:space="preserve">recent </w:t>
      </w:r>
      <w:r w:rsidR="00A337C7">
        <w:t xml:space="preserve">popular press articles </w:t>
      </w:r>
      <w:r w:rsidR="000E21C1">
        <w:t>asse</w:t>
      </w:r>
      <w:r w:rsidR="00B37F4F">
        <w:t>r</w:t>
      </w:r>
      <w:r w:rsidR="000E21C1">
        <w:t>t</w:t>
      </w:r>
      <w:r w:rsidR="00A337C7">
        <w:t xml:space="preserve"> that gridlock is beneficial for the security markets.  </w:t>
      </w:r>
      <w:r w:rsidR="00C75AA9">
        <w:t>A</w:t>
      </w:r>
      <w:r w:rsidR="00F26BFC">
        <w:t>n</w:t>
      </w:r>
      <w:r w:rsidR="002A7F45">
        <w:t xml:space="preserve"> </w:t>
      </w:r>
      <w:r w:rsidR="00F26BFC">
        <w:t xml:space="preserve">article </w:t>
      </w:r>
      <w:r w:rsidR="009B5C06">
        <w:t xml:space="preserve">by Lowery [2010] quotes </w:t>
      </w:r>
      <w:r w:rsidR="000E21C1">
        <w:t>b</w:t>
      </w:r>
      <w:r w:rsidR="009B5C06">
        <w:t>illionaire Kenneth Fisher</w:t>
      </w:r>
      <w:r w:rsidR="000E21C1">
        <w:t xml:space="preserve"> as stating that</w:t>
      </w:r>
      <w:r w:rsidR="009B5C06">
        <w:t xml:space="preserve">, “Markets love gridlock, what the market wants to see is no change – less legislation that engages in changes in taxes, spending, or property rights.”  </w:t>
      </w:r>
      <w:r w:rsidR="00F26BFC">
        <w:t xml:space="preserve"> </w:t>
      </w:r>
      <w:r w:rsidR="00B66D14">
        <w:t xml:space="preserve">A </w:t>
      </w:r>
      <w:r w:rsidR="00E30C9F">
        <w:rPr>
          <w:i/>
          <w:iCs/>
        </w:rPr>
        <w:t xml:space="preserve">Yahoo Daily </w:t>
      </w:r>
      <w:r w:rsidR="00E30C9F" w:rsidRPr="00B66D14">
        <w:rPr>
          <w:i/>
          <w:iCs/>
        </w:rPr>
        <w:t>Ticker</w:t>
      </w:r>
      <w:r w:rsidR="00E30C9F" w:rsidRPr="00E30C9F">
        <w:rPr>
          <w:iCs/>
        </w:rPr>
        <w:t xml:space="preserve"> article by Korn</w:t>
      </w:r>
      <w:r w:rsidR="00B66D14">
        <w:rPr>
          <w:iCs/>
        </w:rPr>
        <w:t xml:space="preserve"> [2011]</w:t>
      </w:r>
      <w:r w:rsidR="00AA493E" w:rsidRPr="00E30C9F">
        <w:t xml:space="preserve"> </w:t>
      </w:r>
      <w:r w:rsidR="002A7F45">
        <w:t xml:space="preserve">quotes </w:t>
      </w:r>
      <w:r w:rsidR="00B66D14">
        <w:t>David Kotok, chairman and</w:t>
      </w:r>
      <w:r w:rsidR="002A7F45">
        <w:t xml:space="preserve"> chief </w:t>
      </w:r>
      <w:r w:rsidR="00B66D14">
        <w:t>investing officer of Cumberland Advisors</w:t>
      </w:r>
      <w:r w:rsidR="002A7F45">
        <w:t>, as saying “</w:t>
      </w:r>
      <w:r w:rsidR="00B66D14">
        <w:t xml:space="preserve">A divided government is positive for the stock market, it’s more bullish.”  </w:t>
      </w:r>
      <w:r w:rsidR="000E21C1">
        <w:t>A</w:t>
      </w:r>
      <w:r w:rsidR="00B66D14">
        <w:t xml:space="preserve"> </w:t>
      </w:r>
      <w:r w:rsidR="00C1324E" w:rsidRPr="00A66E9A">
        <w:rPr>
          <w:i/>
        </w:rPr>
        <w:t>USA Today</w:t>
      </w:r>
      <w:r w:rsidR="00B66D14">
        <w:t xml:space="preserve"> article by </w:t>
      </w:r>
      <w:r w:rsidR="000E21C1">
        <w:t>Shell [2011], declares</w:t>
      </w:r>
      <w:r w:rsidR="00B66D14">
        <w:t xml:space="preserve">, “The mere thought of political </w:t>
      </w:r>
      <w:r w:rsidR="00997AB2">
        <w:t>gridlock normally makes investor</w:t>
      </w:r>
      <w:r w:rsidR="00F911D4">
        <w:t>s</w:t>
      </w:r>
      <w:r w:rsidR="00997AB2">
        <w:t xml:space="preserve"> s</w:t>
      </w:r>
      <w:r w:rsidR="000E21C1">
        <w:t>mile.”  However, contrary to this</w:t>
      </w:r>
      <w:r w:rsidR="00997AB2">
        <w:t xml:space="preserve"> conventional wisdom, Beyer, Jensen</w:t>
      </w:r>
      <w:r w:rsidR="000E21C1">
        <w:t xml:space="preserve"> and</w:t>
      </w:r>
      <w:r w:rsidR="00997AB2">
        <w:t xml:space="preserve"> Johnson [2006] </w:t>
      </w:r>
      <w:r w:rsidR="00022B6C">
        <w:t>find</w:t>
      </w:r>
      <w:r w:rsidR="00997AB2">
        <w:t xml:space="preserve"> that gridlock is not good for the </w:t>
      </w:r>
      <w:r w:rsidR="00884A10">
        <w:t xml:space="preserve">equity </w:t>
      </w:r>
      <w:r w:rsidR="00997AB2">
        <w:t xml:space="preserve">markets.  In fact, the authors report that political harmony is better for </w:t>
      </w:r>
      <w:r w:rsidR="00884A10">
        <w:t>equities</w:t>
      </w:r>
      <w:r w:rsidR="006C5AF8">
        <w:t>;</w:t>
      </w:r>
      <w:r w:rsidR="00997AB2">
        <w:t xml:space="preserve"> most notably for the smaller stock indexes where annualized returns are reported</w:t>
      </w:r>
      <w:r w:rsidR="000E21C1">
        <w:t>ly</w:t>
      </w:r>
      <w:r w:rsidR="00B8152C">
        <w:t xml:space="preserve"> </w:t>
      </w:r>
      <w:r w:rsidR="00997AB2">
        <w:t>22.38% higher during harmony as opposed to gridlock.</w:t>
      </w:r>
    </w:p>
    <w:p w:rsidR="003C2540" w:rsidRDefault="00997AB2" w:rsidP="00997AB2">
      <w:pPr>
        <w:pStyle w:val="BodyTextIndent"/>
        <w:spacing w:line="480" w:lineRule="auto"/>
      </w:pPr>
      <w:r>
        <w:t>Allvine and O’Neill [1980], Booth and Booth [2003], and Beyer, Je</w:t>
      </w:r>
      <w:r w:rsidR="000E21C1">
        <w:t>nsen</w:t>
      </w:r>
      <w:r w:rsidR="00F911D4">
        <w:t xml:space="preserve"> and</w:t>
      </w:r>
      <w:r w:rsidR="000E21C1">
        <w:t xml:space="preserve"> Johnson [2008] identify a</w:t>
      </w:r>
      <w:r w:rsidR="006C5AF8">
        <w:t xml:space="preserve"> temporal</w:t>
      </w:r>
      <w:r w:rsidR="000E21C1">
        <w:t xml:space="preserve"> anomaly in security returns related to </w:t>
      </w:r>
      <w:r w:rsidR="000E21C1">
        <w:lastRenderedPageBreak/>
        <w:t xml:space="preserve">politics – the </w:t>
      </w:r>
      <w:r>
        <w:t xml:space="preserve">presidential </w:t>
      </w:r>
      <w:r w:rsidR="000E21C1">
        <w:t>term cycle</w:t>
      </w:r>
      <w:r>
        <w:t>.</w:t>
      </w:r>
      <w:r w:rsidR="00C92800">
        <w:t xml:space="preserve">  These </w:t>
      </w:r>
      <w:r w:rsidR="000E21C1">
        <w:t>authors</w:t>
      </w:r>
      <w:r w:rsidR="00C92800">
        <w:t xml:space="preserve"> </w:t>
      </w:r>
      <w:r w:rsidR="000E21C1">
        <w:t>document</w:t>
      </w:r>
      <w:r w:rsidR="00C92800">
        <w:t xml:space="preserve"> significantly higher returns during the last two years of a presidential term, with year </w:t>
      </w:r>
      <w:r w:rsidR="000E21C1">
        <w:t>three</w:t>
      </w:r>
      <w:r w:rsidR="00C92800">
        <w:t xml:space="preserve"> being </w:t>
      </w:r>
      <w:r w:rsidR="000E21C1">
        <w:t>greate</w:t>
      </w:r>
      <w:r w:rsidR="0067535A">
        <w:t>r than the other term years.  Beyer, Jensen</w:t>
      </w:r>
      <w:r w:rsidR="000E21C1">
        <w:t xml:space="preserve"> and</w:t>
      </w:r>
      <w:r w:rsidR="0067535A">
        <w:t xml:space="preserve"> Johnson [2008] </w:t>
      </w:r>
      <w:r w:rsidR="00B92B58">
        <w:t xml:space="preserve">find </w:t>
      </w:r>
      <w:r w:rsidR="00D0084E">
        <w:t xml:space="preserve">that in year </w:t>
      </w:r>
      <w:r w:rsidR="00B37F4F">
        <w:t>three</w:t>
      </w:r>
      <w:r w:rsidR="00D0084E">
        <w:t xml:space="preserve"> </w:t>
      </w:r>
      <w:r w:rsidR="00B92B58">
        <w:t xml:space="preserve">the S&amp;P 500 </w:t>
      </w:r>
      <w:r w:rsidR="006C5AF8">
        <w:t xml:space="preserve">returns </w:t>
      </w:r>
      <w:r w:rsidR="00B92B58">
        <w:t>twice th</w:t>
      </w:r>
      <w:r w:rsidR="00D0084E">
        <w:t xml:space="preserve">e return </w:t>
      </w:r>
      <w:r w:rsidR="00B92B58">
        <w:t>of any other year</w:t>
      </w:r>
      <w:r w:rsidR="000E21C1">
        <w:t xml:space="preserve"> (24%)</w:t>
      </w:r>
      <w:r w:rsidR="00D0084E">
        <w:t>.</w:t>
      </w:r>
      <w:r w:rsidR="00B92B58">
        <w:t xml:space="preserve"> They also note that the </w:t>
      </w:r>
      <w:r w:rsidR="0067535A">
        <w:t>small stock annualized return</w:t>
      </w:r>
      <w:r w:rsidR="00B92B58">
        <w:t xml:space="preserve"> (38%) is more than twice that of any other term year</w:t>
      </w:r>
      <w:r w:rsidR="0067535A">
        <w:t xml:space="preserve">.  </w:t>
      </w:r>
      <w:r w:rsidR="00FD57F7">
        <w:t>Sizemore [2012] reports that over the past 60 years the returns associated with term year three are over twice that of every other year.</w:t>
      </w:r>
      <w:r w:rsidR="00022B6C">
        <w:t xml:space="preserve">  </w:t>
      </w:r>
      <w:r w:rsidR="00B92B58">
        <w:t xml:space="preserve">In an attempt to explain this effect, </w:t>
      </w:r>
      <w:r w:rsidR="00022B6C">
        <w:t>Ab</w:t>
      </w:r>
      <w:r w:rsidR="00B37F4F">
        <w:t>e</w:t>
      </w:r>
      <w:r w:rsidR="00022B6C">
        <w:t xml:space="preserve">lson [2006] suggests that presidents are “keen on getting the ugly stuff out of the way early in their tenure so they can act expansively the rest of the way.”  Sanford [2005] forwards a similar argument, and also postulates a monetary dimension to the presidential cycle.  </w:t>
      </w:r>
      <w:r w:rsidR="0073051A">
        <w:t xml:space="preserve">  </w:t>
      </w:r>
    </w:p>
    <w:p w:rsidR="006F7EE9" w:rsidRDefault="00A337C7" w:rsidP="008C28E9">
      <w:pPr>
        <w:pStyle w:val="BodyText3"/>
        <w:widowControl/>
        <w:spacing w:line="480" w:lineRule="auto"/>
        <w:ind w:firstLine="720"/>
      </w:pPr>
      <w:r>
        <w:t xml:space="preserve">The influence of Fed </w:t>
      </w:r>
      <w:r w:rsidR="006F7EE9">
        <w:t xml:space="preserve">monetary </w:t>
      </w:r>
      <w:r>
        <w:t>policy on the security markets has been the subject of</w:t>
      </w:r>
      <w:r w:rsidR="0083421F">
        <w:t xml:space="preserve"> perhaps the most</w:t>
      </w:r>
      <w:r>
        <w:t xml:space="preserve"> numerous analyses.</w:t>
      </w:r>
      <w:r w:rsidR="00314472">
        <w:t xml:space="preserve">  </w:t>
      </w:r>
      <w:r w:rsidR="006F7EE9">
        <w:t xml:space="preserve">As indicated above, our focus is on long-term security returns associated with Fed policy </w:t>
      </w:r>
      <w:r w:rsidR="00DF430B">
        <w:t>actions;</w:t>
      </w:r>
      <w:r w:rsidR="006F7EE9">
        <w:t xml:space="preserve"> therefore, the following discussion omits reference to </w:t>
      </w:r>
      <w:r w:rsidR="00AC6D1E">
        <w:t xml:space="preserve">the many </w:t>
      </w:r>
      <w:r w:rsidR="006F7EE9">
        <w:t>studies of the</w:t>
      </w:r>
      <w:r w:rsidR="00B37F4F">
        <w:t xml:space="preserve"> short-term or</w:t>
      </w:r>
      <w:r w:rsidR="006F7EE9">
        <w:t xml:space="preserve">"announcement effect" of </w:t>
      </w:r>
      <w:r w:rsidR="00495230">
        <w:t xml:space="preserve">Fed </w:t>
      </w:r>
      <w:r w:rsidR="006F7EE9">
        <w:t>policy changes.</w:t>
      </w:r>
      <w:r w:rsidR="006F7EE9" w:rsidRPr="006F7EE9">
        <w:rPr>
          <w:rStyle w:val="FootnoteReference"/>
          <w:vertAlign w:val="superscript"/>
        </w:rPr>
        <w:footnoteReference w:id="4"/>
      </w:r>
      <w:r w:rsidR="006F7EE9">
        <w:t xml:space="preserve">  </w:t>
      </w:r>
    </w:p>
    <w:p w:rsidR="009027E9" w:rsidRDefault="000E21C1" w:rsidP="008C28E9">
      <w:pPr>
        <w:pStyle w:val="BodyText3"/>
        <w:widowControl/>
        <w:spacing w:line="480" w:lineRule="auto"/>
        <w:ind w:firstLine="720"/>
      </w:pPr>
      <w:r>
        <w:t>T</w:t>
      </w:r>
      <w:r w:rsidR="00D273D1">
        <w:t xml:space="preserve">he </w:t>
      </w:r>
      <w:r>
        <w:t>finance literature</w:t>
      </w:r>
      <w:r w:rsidR="00D273D1">
        <w:t xml:space="preserve"> is rich with </w:t>
      </w:r>
      <w:r>
        <w:t>studies</w:t>
      </w:r>
      <w:r w:rsidR="00276770">
        <w:t xml:space="preserve"> that</w:t>
      </w:r>
      <w:r w:rsidR="006F7EE9">
        <w:t xml:space="preserve"> identify systematic patterns in security returns a</w:t>
      </w:r>
      <w:r w:rsidR="00280EAC">
        <w:t>ssociated</w:t>
      </w:r>
      <w:r w:rsidR="006F7EE9">
        <w:t xml:space="preserve"> with prior changes in monetary policy.  Specifically, s</w:t>
      </w:r>
      <w:r w:rsidR="00AC641A">
        <w:t xml:space="preserve">tock returns in periods when the Fed is following an expansive policy are shown </w:t>
      </w:r>
      <w:r w:rsidR="00AC641A">
        <w:lastRenderedPageBreak/>
        <w:t>to be superior to returns during periods of restrictive Fed policy (</w:t>
      </w:r>
      <w:r w:rsidR="00B37F4F">
        <w:t>e.g.,</w:t>
      </w:r>
      <w:r w:rsidR="008B25E3">
        <w:t xml:space="preserve"> </w:t>
      </w:r>
      <w:r w:rsidR="00237FA1">
        <w:t xml:space="preserve">Jensen, Mercer and Johnson </w:t>
      </w:r>
      <w:r w:rsidR="00AB6C37">
        <w:t>[</w:t>
      </w:r>
      <w:r w:rsidR="00237FA1">
        <w:t>1996</w:t>
      </w:r>
      <w:r w:rsidR="00AB6C37">
        <w:t>]</w:t>
      </w:r>
      <w:r w:rsidR="00237FA1">
        <w:t xml:space="preserve">, </w:t>
      </w:r>
      <w:r w:rsidR="008B25E3">
        <w:t xml:space="preserve">Patelis </w:t>
      </w:r>
      <w:r w:rsidR="00AB6C37">
        <w:t>[</w:t>
      </w:r>
      <w:r w:rsidR="008B25E3">
        <w:t>1997</w:t>
      </w:r>
      <w:r w:rsidR="00AB6C37">
        <w:t>]</w:t>
      </w:r>
      <w:r w:rsidR="008B25E3">
        <w:t xml:space="preserve">, Thorbecke </w:t>
      </w:r>
      <w:r w:rsidR="00AB6C37">
        <w:t>[</w:t>
      </w:r>
      <w:r w:rsidR="008B25E3">
        <w:t>1997</w:t>
      </w:r>
      <w:r w:rsidR="00AB6C37">
        <w:t>]</w:t>
      </w:r>
      <w:r w:rsidR="008B25E3">
        <w:t xml:space="preserve">, </w:t>
      </w:r>
      <w:r w:rsidR="00237FA1">
        <w:t xml:space="preserve">Jensen, Johnson and Mercer </w:t>
      </w:r>
      <w:r w:rsidR="00AB6C37">
        <w:t>[</w:t>
      </w:r>
      <w:r w:rsidR="00237FA1">
        <w:t>1998</w:t>
      </w:r>
      <w:r w:rsidR="00AB6C37">
        <w:t>]</w:t>
      </w:r>
      <w:r w:rsidR="00D273D1">
        <w:t xml:space="preserve">, and Bordo, Dueker and </w:t>
      </w:r>
      <w:r w:rsidR="00747393">
        <w:t>W</w:t>
      </w:r>
      <w:r w:rsidR="00D273D1">
        <w:t>heelock [2008]</w:t>
      </w:r>
      <w:r w:rsidR="008B25E3">
        <w:t xml:space="preserve">).  </w:t>
      </w:r>
      <w:r w:rsidR="00B92B58">
        <w:t>Perhaps more intriguing</w:t>
      </w:r>
      <w:r w:rsidR="00B61A8E">
        <w:t xml:space="preserve">, the monetary-policy-related return patterns </w:t>
      </w:r>
      <w:r w:rsidR="00237FA1">
        <w:t xml:space="preserve">identified in these studies </w:t>
      </w:r>
      <w:r w:rsidR="00B61A8E">
        <w:t xml:space="preserve">have two characteristics that are </w:t>
      </w:r>
      <w:r w:rsidR="00D273D1">
        <w:t xml:space="preserve">generally </w:t>
      </w:r>
      <w:r w:rsidR="00B61A8E">
        <w:t xml:space="preserve">consistent with </w:t>
      </w:r>
      <w:r w:rsidR="00495230">
        <w:t xml:space="preserve">the </w:t>
      </w:r>
      <w:r w:rsidR="00237FA1">
        <w:t>political puzzle</w:t>
      </w:r>
      <w:r w:rsidR="006C5AF8">
        <w:t>s</w:t>
      </w:r>
      <w:r w:rsidR="00B37F4F">
        <w:t>:</w:t>
      </w:r>
      <w:r w:rsidR="00237FA1">
        <w:t xml:space="preserve"> </w:t>
      </w:r>
      <w:r w:rsidR="00B61A8E">
        <w:t>1) the patterns are substantially stronger for small stocks</w:t>
      </w:r>
      <w:r w:rsidR="00237FA1">
        <w:t>,</w:t>
      </w:r>
      <w:r w:rsidR="00B61A8E">
        <w:t xml:space="preserve"> and 2) the patterns cannot be attributed to differences in volatility or business</w:t>
      </w:r>
      <w:r w:rsidR="006C729B">
        <w:t>-</w:t>
      </w:r>
      <w:r w:rsidR="00B61A8E">
        <w:t>conditions</w:t>
      </w:r>
      <w:r w:rsidR="00237FA1">
        <w:t xml:space="preserve"> </w:t>
      </w:r>
      <w:r w:rsidR="006C5AF8">
        <w:t>uncertainty</w:t>
      </w:r>
      <w:r w:rsidR="00B61A8E">
        <w:t>.</w:t>
      </w:r>
    </w:p>
    <w:p w:rsidR="00A064DC" w:rsidRDefault="00D273D1" w:rsidP="008C28E9">
      <w:pPr>
        <w:pStyle w:val="BodyText3"/>
        <w:widowControl/>
        <w:spacing w:line="480" w:lineRule="auto"/>
        <w:ind w:firstLine="720"/>
      </w:pPr>
      <w:r>
        <w:t>Our</w:t>
      </w:r>
      <w:r w:rsidR="00237FA1">
        <w:t xml:space="preserve"> analysis extends </w:t>
      </w:r>
      <w:r w:rsidR="00B92B58">
        <w:t xml:space="preserve">the </w:t>
      </w:r>
      <w:r w:rsidR="00237FA1">
        <w:t>previous research in several ways</w:t>
      </w:r>
      <w:r w:rsidR="00495230">
        <w:t xml:space="preserve">.  First, </w:t>
      </w:r>
      <w:r w:rsidR="00276770">
        <w:t>we consider</w:t>
      </w:r>
      <w:r w:rsidR="00495230">
        <w:t xml:space="preserve"> the political landscape</w:t>
      </w:r>
      <w:r w:rsidR="00276770">
        <w:t xml:space="preserve"> (</w:t>
      </w:r>
      <w:r w:rsidR="000E21C1">
        <w:t>p</w:t>
      </w:r>
      <w:r w:rsidR="00276770">
        <w:t>arty</w:t>
      </w:r>
      <w:r w:rsidR="00D0084E">
        <w:t xml:space="preserve"> of president</w:t>
      </w:r>
      <w:r w:rsidR="00276770">
        <w:t xml:space="preserve">, </w:t>
      </w:r>
      <w:r w:rsidR="000E21C1">
        <w:t>g</w:t>
      </w:r>
      <w:r w:rsidR="00276770">
        <w:t xml:space="preserve">ridlock, </w:t>
      </w:r>
      <w:r w:rsidR="00B92B58">
        <w:t xml:space="preserve">and </w:t>
      </w:r>
      <w:r w:rsidR="000E21C1">
        <w:t>p</w:t>
      </w:r>
      <w:r w:rsidR="00B92B58">
        <w:t>residential</w:t>
      </w:r>
      <w:r w:rsidR="000E21C1">
        <w:t xml:space="preserve"> t</w:t>
      </w:r>
      <w:r w:rsidR="00276770">
        <w:t>erm)</w:t>
      </w:r>
      <w:r w:rsidR="00495230">
        <w:t xml:space="preserve"> and monetary conditions jointly when examining security return patterns. </w:t>
      </w:r>
      <w:r w:rsidR="009027E9">
        <w:t xml:space="preserve"> </w:t>
      </w:r>
      <w:r w:rsidR="00695F64">
        <w:t>The t</w:t>
      </w:r>
      <w:r w:rsidR="00DE0ACE">
        <w:t>heoretical justification for a joint examination of the</w:t>
      </w:r>
      <w:r w:rsidR="00747393">
        <w:t>se</w:t>
      </w:r>
      <w:r w:rsidR="00DE0ACE">
        <w:t xml:space="preserve"> factors comes from the observation that</w:t>
      </w:r>
      <w:r w:rsidR="009027E9">
        <w:t xml:space="preserve"> monetary and fiscal </w:t>
      </w:r>
      <w:r w:rsidR="00276770">
        <w:t>actions</w:t>
      </w:r>
      <w:r w:rsidR="00747393">
        <w:t xml:space="preserve"> are often </w:t>
      </w:r>
      <w:r w:rsidR="00695F64">
        <w:t xml:space="preserve">coordinated </w:t>
      </w:r>
      <w:r w:rsidR="006C5AF8">
        <w:t xml:space="preserve">in an </w:t>
      </w:r>
      <w:r w:rsidR="00695F64">
        <w:t xml:space="preserve">attempt </w:t>
      </w:r>
      <w:r w:rsidR="00747393">
        <w:t>to</w:t>
      </w:r>
      <w:r w:rsidR="00695F64">
        <w:t xml:space="preserve"> achieve a desired economic result</w:t>
      </w:r>
      <w:r w:rsidR="009027E9">
        <w:t>.</w:t>
      </w:r>
      <w:r w:rsidR="001A0C00">
        <w:t xml:space="preserve"> Second, we use a more valid measure of monetary policy that considers Fed policy stance (long-term strategy) and stringency (short-term actions). Third, we consider real and nominal returns for both equities and fixed-income securities.</w:t>
      </w:r>
      <w:r w:rsidR="009027E9">
        <w:t xml:space="preserve"> </w:t>
      </w:r>
      <w:r w:rsidR="001A0C00">
        <w:t>Finally, we investigate return patterns over a long time frame that encompasses recent political and monetary policy developments.</w:t>
      </w:r>
    </w:p>
    <w:p w:rsidR="006C0A79" w:rsidRDefault="00B92B58" w:rsidP="008C28E9">
      <w:pPr>
        <w:pStyle w:val="BodyText3"/>
        <w:widowControl/>
        <w:spacing w:line="480" w:lineRule="auto"/>
        <w:ind w:firstLine="720"/>
      </w:pPr>
      <w:r>
        <w:t>In the remainder of the paper</w:t>
      </w:r>
      <w:r w:rsidR="001A0C00">
        <w:t>,</w:t>
      </w:r>
      <w:r>
        <w:t xml:space="preserve"> we investigate the monetary and political factors in the following manner.  F</w:t>
      </w:r>
      <w:r w:rsidR="00126B27">
        <w:t xml:space="preserve">irst, </w:t>
      </w:r>
      <w:r w:rsidR="00127DD2">
        <w:t>we investigate the</w:t>
      </w:r>
      <w:r w:rsidR="00A064DC">
        <w:t xml:space="preserve"> </w:t>
      </w:r>
      <w:r w:rsidR="00126B27">
        <w:t>aforementioned empirical</w:t>
      </w:r>
      <w:r w:rsidR="00127DD2">
        <w:t xml:space="preserve"> </w:t>
      </w:r>
      <w:r>
        <w:t xml:space="preserve">results and </w:t>
      </w:r>
      <w:r w:rsidR="00127DD2">
        <w:t>similarities</w:t>
      </w:r>
      <w:r>
        <w:t xml:space="preserve"> </w:t>
      </w:r>
      <w:r w:rsidR="009027E9">
        <w:t xml:space="preserve">between the political </w:t>
      </w:r>
      <w:r w:rsidR="00A064DC">
        <w:t>structure</w:t>
      </w:r>
      <w:r w:rsidR="009027E9">
        <w:t xml:space="preserve"> and the monetary-</w:t>
      </w:r>
      <w:r w:rsidR="009027E9">
        <w:lastRenderedPageBreak/>
        <w:t xml:space="preserve">policy-related return </w:t>
      </w:r>
      <w:r w:rsidR="00126B27">
        <w:t xml:space="preserve">patterns.  Second, </w:t>
      </w:r>
      <w:r w:rsidR="00127DD2">
        <w:t>we</w:t>
      </w:r>
      <w:r w:rsidR="00DE0ACE">
        <w:t xml:space="preserve"> establish the investment implications of these </w:t>
      </w:r>
      <w:r w:rsidR="00276770">
        <w:t>four areas of research</w:t>
      </w:r>
      <w:r w:rsidR="00D0084E">
        <w:t>,</w:t>
      </w:r>
      <w:r w:rsidR="00276770">
        <w:t xml:space="preserve"> and b</w:t>
      </w:r>
      <w:r w:rsidR="00127DD2">
        <w:t xml:space="preserve">y jointly </w:t>
      </w:r>
      <w:r w:rsidR="00695F64">
        <w:t>investigating</w:t>
      </w:r>
      <w:r w:rsidR="00127DD2">
        <w:t xml:space="preserve"> these areas we are able to discern which effects tend to dominate the others</w:t>
      </w:r>
      <w:r w:rsidR="00DE0ACE">
        <w:t xml:space="preserve">.  </w:t>
      </w:r>
      <w:r w:rsidR="00126B27">
        <w:t>Finally,</w:t>
      </w:r>
      <w:r w:rsidR="00695F64">
        <w:t xml:space="preserve"> while</w:t>
      </w:r>
      <w:r w:rsidR="00126B27">
        <w:t xml:space="preserve"> most of the prior research has focused </w:t>
      </w:r>
      <w:r w:rsidR="009A20C4">
        <w:t>exclusively on equity markets</w:t>
      </w:r>
      <w:r w:rsidR="00DE0ACE">
        <w:t>, w</w:t>
      </w:r>
      <w:r w:rsidR="00495230">
        <w:t xml:space="preserve">e </w:t>
      </w:r>
      <w:r w:rsidR="00695F64">
        <w:t>examine</w:t>
      </w:r>
      <w:r w:rsidR="00495230">
        <w:t xml:space="preserve"> </w:t>
      </w:r>
      <w:r w:rsidR="001A0C00">
        <w:t xml:space="preserve">two alternative </w:t>
      </w:r>
      <w:r w:rsidR="00495230">
        <w:t>fixed-income indi</w:t>
      </w:r>
      <w:r w:rsidR="005406C8">
        <w:t>ces, and the rate of inflation</w:t>
      </w:r>
      <w:r w:rsidR="00695F64">
        <w:t xml:space="preserve"> in addition to equity indices.</w:t>
      </w:r>
      <w:r w:rsidR="005406C8">
        <w:t xml:space="preserve">  </w:t>
      </w:r>
    </w:p>
    <w:p w:rsidR="00127DD2" w:rsidRDefault="00127DD2" w:rsidP="000C7451">
      <w:pPr>
        <w:pStyle w:val="BodyText3"/>
        <w:widowControl/>
        <w:spacing w:line="480" w:lineRule="auto"/>
        <w:rPr>
          <w:b/>
        </w:rPr>
      </w:pPr>
    </w:p>
    <w:p w:rsidR="000B5C7E" w:rsidRPr="00AC6D1E" w:rsidRDefault="000B5C7E" w:rsidP="000C7451">
      <w:pPr>
        <w:pStyle w:val="BodyText3"/>
        <w:widowControl/>
        <w:spacing w:line="480" w:lineRule="auto"/>
        <w:rPr>
          <w:b/>
        </w:rPr>
      </w:pPr>
      <w:r w:rsidRPr="00AC6D1E">
        <w:rPr>
          <w:b/>
        </w:rPr>
        <w:t>DATA AND METHODOLOGY</w:t>
      </w:r>
    </w:p>
    <w:p w:rsidR="000B5C7E" w:rsidRPr="00DE0ACE" w:rsidRDefault="00790CF7" w:rsidP="008C28E9">
      <w:pPr>
        <w:pStyle w:val="Heading2"/>
        <w:widowControl/>
        <w:spacing w:line="480" w:lineRule="auto"/>
        <w:ind w:firstLine="720"/>
        <w:jc w:val="left"/>
        <w:rPr>
          <w:b w:val="0"/>
          <w:bCs w:val="0"/>
          <w:sz w:val="24"/>
        </w:rPr>
      </w:pPr>
      <w:r w:rsidRPr="00790CF7">
        <w:rPr>
          <w:b w:val="0"/>
          <w:sz w:val="24"/>
        </w:rPr>
        <w:t xml:space="preserve">We evaluate </w:t>
      </w:r>
      <w:r w:rsidR="00695F64">
        <w:rPr>
          <w:b w:val="0"/>
          <w:sz w:val="24"/>
        </w:rPr>
        <w:t xml:space="preserve">nominal monthly </w:t>
      </w:r>
      <w:r w:rsidRPr="00790CF7">
        <w:rPr>
          <w:b w:val="0"/>
          <w:sz w:val="24"/>
        </w:rPr>
        <w:t>returns</w:t>
      </w:r>
      <w:r w:rsidR="00695F64">
        <w:rPr>
          <w:b w:val="0"/>
          <w:sz w:val="24"/>
        </w:rPr>
        <w:t xml:space="preserve"> from Ibbotson &amp; Associates</w:t>
      </w:r>
      <w:r w:rsidRPr="00790CF7">
        <w:rPr>
          <w:b w:val="0"/>
          <w:sz w:val="24"/>
        </w:rPr>
        <w:t xml:space="preserve"> for the following five indices:  large-company stocks [S&amp;P 500 total return index], small-company stocks, long-term corporate bonds, U</w:t>
      </w:r>
      <w:r w:rsidR="00D0084E">
        <w:rPr>
          <w:b w:val="0"/>
          <w:sz w:val="24"/>
        </w:rPr>
        <w:t>.</w:t>
      </w:r>
      <w:r w:rsidRPr="00790CF7">
        <w:rPr>
          <w:b w:val="0"/>
          <w:sz w:val="24"/>
        </w:rPr>
        <w:t>S</w:t>
      </w:r>
      <w:r w:rsidR="00D0084E">
        <w:rPr>
          <w:b w:val="0"/>
          <w:sz w:val="24"/>
        </w:rPr>
        <w:t>.</w:t>
      </w:r>
      <w:r w:rsidRPr="00790CF7">
        <w:rPr>
          <w:b w:val="0"/>
          <w:sz w:val="24"/>
        </w:rPr>
        <w:t xml:space="preserve"> 30-day </w:t>
      </w:r>
      <w:r w:rsidR="00740B8F">
        <w:rPr>
          <w:b w:val="0"/>
          <w:sz w:val="24"/>
        </w:rPr>
        <w:t>T</w:t>
      </w:r>
      <w:r w:rsidRPr="00790CF7">
        <w:rPr>
          <w:b w:val="0"/>
          <w:sz w:val="24"/>
        </w:rPr>
        <w:t xml:space="preserve">reasury </w:t>
      </w:r>
      <w:r w:rsidR="00740B8F">
        <w:rPr>
          <w:b w:val="0"/>
          <w:sz w:val="24"/>
        </w:rPr>
        <w:t>B</w:t>
      </w:r>
      <w:r w:rsidRPr="00790CF7">
        <w:rPr>
          <w:b w:val="0"/>
          <w:sz w:val="24"/>
        </w:rPr>
        <w:t>ills, and U</w:t>
      </w:r>
      <w:r w:rsidR="00D0084E">
        <w:rPr>
          <w:b w:val="0"/>
          <w:sz w:val="24"/>
        </w:rPr>
        <w:t>.</w:t>
      </w:r>
      <w:r w:rsidRPr="00790CF7">
        <w:rPr>
          <w:b w:val="0"/>
          <w:sz w:val="24"/>
        </w:rPr>
        <w:t>S</w:t>
      </w:r>
      <w:r w:rsidR="00D0084E">
        <w:rPr>
          <w:b w:val="0"/>
          <w:sz w:val="24"/>
        </w:rPr>
        <w:t>.</w:t>
      </w:r>
      <w:r w:rsidRPr="00790CF7">
        <w:rPr>
          <w:b w:val="0"/>
          <w:sz w:val="24"/>
        </w:rPr>
        <w:t xml:space="preserve"> inflation</w:t>
      </w:r>
      <w:r>
        <w:t xml:space="preserve">.  </w:t>
      </w:r>
      <w:r w:rsidR="00695F64">
        <w:rPr>
          <w:b w:val="0"/>
          <w:bCs w:val="0"/>
          <w:sz w:val="24"/>
        </w:rPr>
        <w:t>The</w:t>
      </w:r>
      <w:r w:rsidR="00013409">
        <w:rPr>
          <w:b w:val="0"/>
          <w:bCs w:val="0"/>
          <w:sz w:val="24"/>
        </w:rPr>
        <w:t xml:space="preserve"> sample period </w:t>
      </w:r>
      <w:r w:rsidR="00C51D7A">
        <w:rPr>
          <w:b w:val="0"/>
          <w:bCs w:val="0"/>
          <w:sz w:val="24"/>
        </w:rPr>
        <w:t>covers the</w:t>
      </w:r>
      <w:r w:rsidR="00276770">
        <w:rPr>
          <w:b w:val="0"/>
          <w:bCs w:val="0"/>
          <w:sz w:val="24"/>
        </w:rPr>
        <w:t xml:space="preserve"> </w:t>
      </w:r>
      <w:r>
        <w:rPr>
          <w:b w:val="0"/>
          <w:bCs w:val="0"/>
          <w:sz w:val="24"/>
        </w:rPr>
        <w:t xml:space="preserve">range </w:t>
      </w:r>
      <w:r w:rsidR="00C51D7A">
        <w:rPr>
          <w:b w:val="0"/>
          <w:bCs w:val="0"/>
          <w:sz w:val="24"/>
        </w:rPr>
        <w:t>of returns</w:t>
      </w:r>
      <w:r w:rsidR="007C1C92">
        <w:rPr>
          <w:b w:val="0"/>
          <w:bCs w:val="0"/>
          <w:sz w:val="24"/>
        </w:rPr>
        <w:t xml:space="preserve"> starting in </w:t>
      </w:r>
      <w:r w:rsidR="00A00CBB">
        <w:rPr>
          <w:b w:val="0"/>
          <w:bCs w:val="0"/>
          <w:sz w:val="24"/>
        </w:rPr>
        <w:t xml:space="preserve">January </w:t>
      </w:r>
      <w:r w:rsidR="007C1C92">
        <w:rPr>
          <w:b w:val="0"/>
          <w:bCs w:val="0"/>
          <w:sz w:val="24"/>
        </w:rPr>
        <w:t>19</w:t>
      </w:r>
      <w:r w:rsidR="00C51D7A">
        <w:rPr>
          <w:b w:val="0"/>
          <w:bCs w:val="0"/>
          <w:sz w:val="24"/>
        </w:rPr>
        <w:t>65</w:t>
      </w:r>
      <w:r w:rsidR="007C1C92">
        <w:rPr>
          <w:b w:val="0"/>
          <w:bCs w:val="0"/>
          <w:sz w:val="24"/>
        </w:rPr>
        <w:t xml:space="preserve"> (</w:t>
      </w:r>
      <w:r w:rsidR="00C51D7A">
        <w:rPr>
          <w:b w:val="0"/>
          <w:bCs w:val="0"/>
          <w:sz w:val="24"/>
        </w:rPr>
        <w:t>the beginning of the monetary policy data)</w:t>
      </w:r>
      <w:r w:rsidR="00B62CD0">
        <w:rPr>
          <w:b w:val="0"/>
          <w:bCs w:val="0"/>
          <w:sz w:val="24"/>
        </w:rPr>
        <w:t xml:space="preserve"> </w:t>
      </w:r>
      <w:r w:rsidR="00276770">
        <w:rPr>
          <w:b w:val="0"/>
          <w:bCs w:val="0"/>
          <w:sz w:val="24"/>
        </w:rPr>
        <w:t xml:space="preserve">through </w:t>
      </w:r>
      <w:r w:rsidR="00740B8F">
        <w:rPr>
          <w:b w:val="0"/>
          <w:bCs w:val="0"/>
          <w:sz w:val="24"/>
        </w:rPr>
        <w:t xml:space="preserve">December 2008 ─ </w:t>
      </w:r>
      <w:r w:rsidR="00276770">
        <w:rPr>
          <w:b w:val="0"/>
          <w:bCs w:val="0"/>
          <w:sz w:val="24"/>
        </w:rPr>
        <w:t>the most recent</w:t>
      </w:r>
      <w:r w:rsidR="00B62CD0">
        <w:rPr>
          <w:b w:val="0"/>
          <w:bCs w:val="0"/>
          <w:sz w:val="24"/>
        </w:rPr>
        <w:t>,</w:t>
      </w:r>
      <w:r w:rsidR="00276770">
        <w:rPr>
          <w:b w:val="0"/>
          <w:bCs w:val="0"/>
          <w:sz w:val="24"/>
        </w:rPr>
        <w:t xml:space="preserve"> complete</w:t>
      </w:r>
      <w:r w:rsidR="00B62CD0">
        <w:rPr>
          <w:b w:val="0"/>
          <w:bCs w:val="0"/>
          <w:sz w:val="24"/>
        </w:rPr>
        <w:t>, presidential cycle</w:t>
      </w:r>
      <w:r w:rsidR="00C51D7A">
        <w:rPr>
          <w:b w:val="0"/>
          <w:bCs w:val="0"/>
          <w:sz w:val="24"/>
        </w:rPr>
        <w:t xml:space="preserve">.  </w:t>
      </w:r>
      <w:r w:rsidR="0008032E" w:rsidRPr="00DE0ACE">
        <w:rPr>
          <w:b w:val="0"/>
          <w:bCs w:val="0"/>
          <w:sz w:val="24"/>
        </w:rPr>
        <w:fldChar w:fldCharType="begin"/>
      </w:r>
      <w:r w:rsidR="000B5C7E" w:rsidRPr="00DE0ACE">
        <w:rPr>
          <w:b w:val="0"/>
          <w:bCs w:val="0"/>
          <w:sz w:val="24"/>
        </w:rPr>
        <w:instrText>tc \l2 "DATA AND METHODOLOGY</w:instrText>
      </w:r>
      <w:r w:rsidR="0008032E" w:rsidRPr="00DE0ACE">
        <w:rPr>
          <w:b w:val="0"/>
          <w:bCs w:val="0"/>
          <w:sz w:val="24"/>
        </w:rPr>
        <w:fldChar w:fldCharType="end"/>
      </w:r>
    </w:p>
    <w:p w:rsidR="000B5C7E" w:rsidRDefault="00790CF7" w:rsidP="008C28E9">
      <w:pPr>
        <w:spacing w:line="480" w:lineRule="auto"/>
        <w:ind w:firstLine="720"/>
      </w:pPr>
      <w:r>
        <w:t>The monthly</w:t>
      </w:r>
      <w:r w:rsidR="000B5C7E">
        <w:t xml:space="preserve"> </w:t>
      </w:r>
      <w:r w:rsidR="00AC6D1E">
        <w:t>c</w:t>
      </w:r>
      <w:r w:rsidR="000B5C7E">
        <w:t xml:space="preserve">ongressional and </w:t>
      </w:r>
      <w:r w:rsidR="00AC6D1E">
        <w:t>p</w:t>
      </w:r>
      <w:r w:rsidR="000B5C7E">
        <w:t xml:space="preserve">residential calendar data is from the </w:t>
      </w:r>
      <w:r w:rsidR="000B5C7E">
        <w:rPr>
          <w:i/>
          <w:iCs/>
        </w:rPr>
        <w:t>Congressional Directory</w:t>
      </w:r>
      <w:r w:rsidR="000B5C7E">
        <w:t xml:space="preserve">.   </w:t>
      </w:r>
      <w:r w:rsidR="00C1449A">
        <w:t>Gridlock is determined based on each c</w:t>
      </w:r>
      <w:r w:rsidR="000B5C7E">
        <w:t>ongressional period</w:t>
      </w:r>
      <w:r w:rsidR="00C1449A">
        <w:t xml:space="preserve">, </w:t>
      </w:r>
      <w:r w:rsidR="000B5C7E">
        <w:t xml:space="preserve">measured as the two-year period from </w:t>
      </w:r>
      <w:r w:rsidR="007E5027">
        <w:t>January</w:t>
      </w:r>
      <w:r w:rsidR="000B5C7E">
        <w:t xml:space="preserve"> to </w:t>
      </w:r>
      <w:r w:rsidR="007E5027">
        <w:t>January</w:t>
      </w:r>
      <w:r w:rsidR="000B5C7E">
        <w:t xml:space="preserve"> corresponding to the congressional cycles</w:t>
      </w:r>
      <w:r w:rsidR="007E5027">
        <w:t>.</w:t>
      </w:r>
      <w:r w:rsidR="007E5027" w:rsidRPr="007E5027">
        <w:rPr>
          <w:rStyle w:val="FootnoteReference"/>
          <w:vertAlign w:val="superscript"/>
        </w:rPr>
        <w:footnoteReference w:id="5"/>
      </w:r>
      <w:r w:rsidR="00C1449A">
        <w:t xml:space="preserve">  </w:t>
      </w:r>
      <w:r>
        <w:t>Similarly</w:t>
      </w:r>
      <w:r w:rsidR="00C1449A">
        <w:t xml:space="preserve">, the party of the president is established </w:t>
      </w:r>
      <w:r w:rsidR="00C1449A">
        <w:lastRenderedPageBreak/>
        <w:t>based on a four-year January-to-January period that coincides with the presidential cycle.</w:t>
      </w:r>
      <w:r w:rsidR="00312C4B" w:rsidRPr="00312C4B">
        <w:rPr>
          <w:rStyle w:val="FootnoteReference"/>
          <w:vertAlign w:val="superscript"/>
        </w:rPr>
        <w:footnoteReference w:id="6"/>
      </w:r>
      <w:r w:rsidR="007E5027">
        <w:t xml:space="preserve">  </w:t>
      </w:r>
    </w:p>
    <w:p w:rsidR="005F6871" w:rsidRDefault="005F6871" w:rsidP="008C28E9">
      <w:pPr>
        <w:spacing w:line="480" w:lineRule="auto"/>
        <w:ind w:firstLine="720"/>
      </w:pPr>
      <w:r>
        <w:t>Qualitative classifications are used to establish</w:t>
      </w:r>
      <w:r w:rsidR="00D0084E">
        <w:t xml:space="preserve"> </w:t>
      </w:r>
      <w:r>
        <w:t xml:space="preserve">binary variables associated with </w:t>
      </w:r>
      <w:r w:rsidR="00790CF7">
        <w:t>all three of</w:t>
      </w:r>
      <w:r>
        <w:t xml:space="preserve"> the </w:t>
      </w:r>
      <w:r w:rsidR="00790CF7">
        <w:t xml:space="preserve">political variables </w:t>
      </w:r>
      <w:r>
        <w:t xml:space="preserve">considered in the analysis.  The alternative binary classifications are: Republican versus Democratic president, political gridlock or political harmony, and whether or not the returns take place during the third year </w:t>
      </w:r>
      <w:r w:rsidR="000163A0">
        <w:t xml:space="preserve">of a president’s term </w:t>
      </w:r>
      <w:r>
        <w:t>or in a different term year</w:t>
      </w:r>
      <w:r w:rsidR="00790CF7">
        <w:t>.</w:t>
      </w:r>
    </w:p>
    <w:p w:rsidR="00A00CBB" w:rsidRPr="00790CF7" w:rsidRDefault="00A00CBB" w:rsidP="008C28E9">
      <w:pPr>
        <w:spacing w:line="480" w:lineRule="auto"/>
        <w:ind w:firstLine="720"/>
      </w:pPr>
      <w:r w:rsidRPr="00790CF7">
        <w:rPr>
          <w:bCs/>
        </w:rPr>
        <w:t>Drawing on the most recent updates to the literature, s</w:t>
      </w:r>
      <w:r w:rsidRPr="00790CF7">
        <w:t xml:space="preserve">imilar to the method in Jensen and Moorman </w:t>
      </w:r>
      <w:r w:rsidR="006C5AF8">
        <w:t>(</w:t>
      </w:r>
      <w:r w:rsidRPr="00790CF7">
        <w:t>201</w:t>
      </w:r>
      <w:r w:rsidR="006C5AF8">
        <w:t>0)</w:t>
      </w:r>
      <w:r w:rsidRPr="00790CF7">
        <w:t xml:space="preserve">, </w:t>
      </w:r>
      <w:r w:rsidR="00790CF7">
        <w:rPr>
          <w:bCs/>
        </w:rPr>
        <w:t>we</w:t>
      </w:r>
      <w:r w:rsidRPr="00790CF7">
        <w:rPr>
          <w:bCs/>
        </w:rPr>
        <w:t xml:space="preserve"> capture</w:t>
      </w:r>
      <w:r w:rsidRPr="00790CF7">
        <w:t xml:space="preserve"> the monetary policy effects </w:t>
      </w:r>
      <w:r w:rsidR="00790CF7">
        <w:t xml:space="preserve">using </w:t>
      </w:r>
      <w:r w:rsidR="000163A0">
        <w:t xml:space="preserve">a </w:t>
      </w:r>
      <w:r w:rsidR="00790CF7">
        <w:t xml:space="preserve">more </w:t>
      </w:r>
      <w:r w:rsidR="000163A0">
        <w:t>refined</w:t>
      </w:r>
      <w:r w:rsidR="00790CF7">
        <w:t xml:space="preserve"> qualitative classification.  Monthly data is tabulated as</w:t>
      </w:r>
      <w:r w:rsidRPr="00790CF7">
        <w:t xml:space="preserve"> expansive monetary policy, restrictive monetary policy, and periods in which the monetary policy </w:t>
      </w:r>
      <w:r w:rsidR="000163A0">
        <w:t>is</w:t>
      </w:r>
      <w:r w:rsidRPr="00790CF7">
        <w:t xml:space="preserve"> indeterminate.  In order to observe </w:t>
      </w:r>
      <w:r w:rsidR="00695F64">
        <w:t xml:space="preserve">the impact of </w:t>
      </w:r>
      <w:r w:rsidRPr="00790CF7">
        <w:t>each classification</w:t>
      </w:r>
      <w:r w:rsidR="000163A0">
        <w:t>’</w:t>
      </w:r>
      <w:r w:rsidRPr="00790CF7">
        <w:t xml:space="preserve">s impact we create </w:t>
      </w:r>
      <w:r w:rsidR="000163A0">
        <w:t xml:space="preserve">two separate </w:t>
      </w:r>
      <w:r w:rsidRPr="00790CF7">
        <w:t>binary variables</w:t>
      </w:r>
      <w:r w:rsidR="000163A0">
        <w:t xml:space="preserve">, </w:t>
      </w:r>
      <w:r w:rsidRPr="00790CF7">
        <w:t xml:space="preserve">expansive </w:t>
      </w:r>
      <w:r w:rsidR="000163A0">
        <w:t>versus</w:t>
      </w:r>
      <w:r w:rsidRPr="00790CF7">
        <w:t xml:space="preserve"> not expansive and restrictive </w:t>
      </w:r>
      <w:r w:rsidR="000163A0">
        <w:t xml:space="preserve">versus </w:t>
      </w:r>
      <w:r w:rsidRPr="00790CF7">
        <w:t>not restrictive</w:t>
      </w:r>
      <w:r w:rsidR="00790CF7">
        <w:t xml:space="preserve"> periods</w:t>
      </w:r>
      <w:r w:rsidRPr="00790CF7">
        <w:t xml:space="preserve">. </w:t>
      </w:r>
      <w:r w:rsidR="000163A0">
        <w:t xml:space="preserve"> The excluded case is the indeterminate monetary policy environment, in which Fed policy cannot be clearly established as either expansive or restrictive.</w:t>
      </w:r>
      <w:r w:rsidRPr="00790CF7">
        <w:t xml:space="preserve">    </w:t>
      </w:r>
    </w:p>
    <w:p w:rsidR="00B044EB" w:rsidRDefault="00312C4B" w:rsidP="008C28E9">
      <w:pPr>
        <w:spacing w:line="480" w:lineRule="auto"/>
        <w:ind w:firstLine="720"/>
      </w:pPr>
      <w:r>
        <w:t>Many of the p</w:t>
      </w:r>
      <w:r w:rsidR="009C1C5F">
        <w:t xml:space="preserve">revious studies </w:t>
      </w:r>
      <w:r>
        <w:t>on monetary policy rely</w:t>
      </w:r>
      <w:r w:rsidR="005C3C72">
        <w:t xml:space="preserve"> on two different types of indicators to identify changes in monetary conditions.  </w:t>
      </w:r>
      <w:r w:rsidR="00740B8F">
        <w:t>S</w:t>
      </w:r>
      <w:r w:rsidR="005C3C72">
        <w:t xml:space="preserve">everal studies use </w:t>
      </w:r>
      <w:r w:rsidR="006214EA">
        <w:t>a refined measure</w:t>
      </w:r>
      <w:r w:rsidR="009C1C5F">
        <w:t xml:space="preserve"> of monetary conditions designed to identify a </w:t>
      </w:r>
      <w:r w:rsidR="00740B8F">
        <w:t xml:space="preserve">short-term </w:t>
      </w:r>
      <w:r w:rsidR="009C1C5F">
        <w:t>change in the degree of monetary stringency (e.g.</w:t>
      </w:r>
      <w:r w:rsidR="00740B8F">
        <w:t>,</w:t>
      </w:r>
      <w:r w:rsidR="009C1C5F">
        <w:t xml:space="preserve"> Thorbecke </w:t>
      </w:r>
      <w:r w:rsidR="00AB6C37">
        <w:t>[</w:t>
      </w:r>
      <w:r w:rsidR="009C1C5F">
        <w:t>1997</w:t>
      </w:r>
      <w:r w:rsidR="00AB6C37">
        <w:t>]</w:t>
      </w:r>
      <w:r w:rsidR="009C1C5F">
        <w:t>)</w:t>
      </w:r>
      <w:r w:rsidR="005C3C72">
        <w:t xml:space="preserve">, while other </w:t>
      </w:r>
      <w:r w:rsidR="005C3C72">
        <w:lastRenderedPageBreak/>
        <w:t xml:space="preserve">studies rely on </w:t>
      </w:r>
      <w:r w:rsidR="009C1C5F">
        <w:t xml:space="preserve">broad indicators designed to identify a </w:t>
      </w:r>
      <w:r w:rsidR="00740B8F">
        <w:t xml:space="preserve">long-term </w:t>
      </w:r>
      <w:r w:rsidR="009C1C5F">
        <w:t xml:space="preserve">fundamental </w:t>
      </w:r>
      <w:r w:rsidR="00AC6D1E">
        <w:t>shift</w:t>
      </w:r>
      <w:r w:rsidR="009C1C5F">
        <w:t xml:space="preserve"> in </w:t>
      </w:r>
      <w:r w:rsidR="000163A0">
        <w:t xml:space="preserve">the </w:t>
      </w:r>
      <w:r w:rsidR="009C1C5F">
        <w:t>Fed</w:t>
      </w:r>
      <w:r w:rsidR="000163A0">
        <w:t xml:space="preserve">’s </w:t>
      </w:r>
      <w:r w:rsidR="009C1C5F">
        <w:t>policy</w:t>
      </w:r>
      <w:r w:rsidR="000163A0">
        <w:t xml:space="preserve"> stance</w:t>
      </w:r>
      <w:r w:rsidR="009C1C5F">
        <w:t xml:space="preserve"> (e.g.</w:t>
      </w:r>
      <w:r w:rsidR="00740B8F">
        <w:t>,</w:t>
      </w:r>
      <w:r w:rsidR="009C1C5F">
        <w:t xml:space="preserve"> Jensen and Johnson </w:t>
      </w:r>
      <w:r w:rsidR="00AB6C37">
        <w:t>[</w:t>
      </w:r>
      <w:r w:rsidR="009C1C5F">
        <w:t>1995</w:t>
      </w:r>
      <w:r w:rsidR="00AB6C37">
        <w:t>]</w:t>
      </w:r>
      <w:r w:rsidR="009C1C5F">
        <w:t xml:space="preserve">).  </w:t>
      </w:r>
      <w:r w:rsidR="006214EA">
        <w:t>I</w:t>
      </w:r>
      <w:r w:rsidR="00711993">
        <w:t>t</w:t>
      </w:r>
      <w:r w:rsidR="006214EA">
        <w:t xml:space="preserve"> is important to note that b</w:t>
      </w:r>
      <w:r w:rsidR="009C1C5F">
        <w:t xml:space="preserve">oth </w:t>
      </w:r>
      <w:r w:rsidR="005C3C72">
        <w:t xml:space="preserve">measures are shown to have a significant relationship with security returns, </w:t>
      </w:r>
      <w:r w:rsidR="006214EA">
        <w:t>supporting</w:t>
      </w:r>
      <w:r w:rsidR="009C1C5F">
        <w:t xml:space="preserve"> the robustness of the monetary policy return patterns</w:t>
      </w:r>
      <w:r w:rsidR="000163A0">
        <w:t>.</w:t>
      </w:r>
      <w:r w:rsidR="006214EA">
        <w:t xml:space="preserve"> </w:t>
      </w:r>
      <w:r w:rsidR="009C1C5F">
        <w:t xml:space="preserve"> </w:t>
      </w:r>
      <w:r w:rsidR="006214EA">
        <w:t>Other work verifies this notion and supports the use of both measures to mo</w:t>
      </w:r>
      <w:r w:rsidR="000163A0">
        <w:t>st effectively capture monetary conditions (</w:t>
      </w:r>
      <w:r w:rsidR="00740B8F">
        <w:t>e.g.,</w:t>
      </w:r>
      <w:r w:rsidR="000163A0">
        <w:t xml:space="preserve"> </w:t>
      </w:r>
      <w:r w:rsidR="00D87A95">
        <w:t xml:space="preserve">Becher, </w:t>
      </w:r>
      <w:r w:rsidR="000163A0">
        <w:t xml:space="preserve">Jensen and Mercer </w:t>
      </w:r>
      <w:r w:rsidR="001A0C00">
        <w:t>[</w:t>
      </w:r>
      <w:r w:rsidR="000163A0">
        <w:t>2008</w:t>
      </w:r>
      <w:r w:rsidR="001A0C00">
        <w:t>]</w:t>
      </w:r>
      <w:r w:rsidR="000163A0">
        <w:t xml:space="preserve"> and Jensen and Moorman </w:t>
      </w:r>
      <w:r w:rsidR="001A0C00">
        <w:t>[</w:t>
      </w:r>
      <w:r w:rsidR="000163A0">
        <w:t>2010</w:t>
      </w:r>
      <w:r w:rsidR="001A0C00">
        <w:t>])</w:t>
      </w:r>
      <w:r w:rsidR="000163A0">
        <w:t>.</w:t>
      </w:r>
      <w:r w:rsidR="006214EA">
        <w:t xml:space="preserve"> </w:t>
      </w:r>
      <w:r w:rsidR="005730C9">
        <w:t xml:space="preserve"> </w:t>
      </w:r>
      <w:r w:rsidR="000163A0">
        <w:t xml:space="preserve">Consistent with this recent research, we rely on </w:t>
      </w:r>
      <w:r w:rsidR="00B044EB">
        <w:t xml:space="preserve">a </w:t>
      </w:r>
      <w:r w:rsidR="005730C9">
        <w:t xml:space="preserve">combined </w:t>
      </w:r>
      <w:r w:rsidR="00693958">
        <w:t>monetary policy</w:t>
      </w:r>
      <w:r w:rsidR="000163A0">
        <w:t xml:space="preserve"> measure and </w:t>
      </w:r>
      <w:r w:rsidR="005730C9">
        <w:t>implement</w:t>
      </w:r>
      <w:r w:rsidR="000163A0">
        <w:t xml:space="preserve"> the </w:t>
      </w:r>
      <w:r w:rsidR="00B044EB">
        <w:t>measure</w:t>
      </w:r>
      <w:r w:rsidR="00693958">
        <w:t xml:space="preserve"> </w:t>
      </w:r>
      <w:r w:rsidR="006C5AF8">
        <w:t xml:space="preserve">to create separate </w:t>
      </w:r>
      <w:r w:rsidR="00ED73D1">
        <w:t>binary variable</w:t>
      </w:r>
      <w:r w:rsidR="006C5AF8">
        <w:t>s</w:t>
      </w:r>
      <w:r w:rsidR="00ED73D1">
        <w:t xml:space="preserve"> </w:t>
      </w:r>
      <w:r w:rsidR="005730C9">
        <w:t xml:space="preserve">for expansive </w:t>
      </w:r>
      <w:r w:rsidR="00A97A32">
        <w:t>and restrictive</w:t>
      </w:r>
      <w:r w:rsidR="005730C9">
        <w:t xml:space="preserve"> periods.  </w:t>
      </w:r>
      <w:r w:rsidR="00693958">
        <w:t>Specifically,</w:t>
      </w:r>
      <w:r w:rsidR="00776399">
        <w:t xml:space="preserve"> we </w:t>
      </w:r>
      <w:r w:rsidR="00B044EB">
        <w:t xml:space="preserve">follow the recent research and </w:t>
      </w:r>
      <w:r w:rsidR="00776399">
        <w:t>combine</w:t>
      </w:r>
      <w:r w:rsidR="0015100C">
        <w:t xml:space="preserve"> two metrics to capture Federal Reserve monetary policy.  </w:t>
      </w:r>
      <w:r w:rsidR="00B044EB">
        <w:t>The</w:t>
      </w:r>
      <w:r w:rsidR="0015100C">
        <w:t xml:space="preserve"> first metric is based on changes in the federal funds rate.  This metric adjusts for Fed stringency in the short-term market.  </w:t>
      </w:r>
      <w:r w:rsidR="00B044EB">
        <w:t>The</w:t>
      </w:r>
      <w:r w:rsidR="0015100C">
        <w:t xml:space="preserve"> second metric is based on changes in the Fed discount rate.  This metric captures fundamental </w:t>
      </w:r>
      <w:r w:rsidR="00740B8F">
        <w:t xml:space="preserve">long-term </w:t>
      </w:r>
      <w:r w:rsidR="0015100C">
        <w:t>shif</w:t>
      </w:r>
      <w:r w:rsidR="00776399">
        <w:t xml:space="preserve">ts in overall monetary policy.  </w:t>
      </w:r>
      <w:r w:rsidR="007359D8">
        <w:t xml:space="preserve">Utilizing both variables </w:t>
      </w:r>
      <w:r w:rsidR="00281D5E">
        <w:t>more accurately assesses whether the Fed is pursuing an expansive or restrictive monetary policy (</w:t>
      </w:r>
      <w:r w:rsidR="00740B8F">
        <w:t xml:space="preserve">see </w:t>
      </w:r>
      <w:r w:rsidR="00281D5E">
        <w:t xml:space="preserve">Patelis </w:t>
      </w:r>
      <w:r w:rsidR="00740B8F">
        <w:t>[</w:t>
      </w:r>
      <w:r w:rsidR="00281D5E">
        <w:t>1997</w:t>
      </w:r>
      <w:r w:rsidR="00740B8F">
        <w:t>]</w:t>
      </w:r>
      <w:r w:rsidR="00281D5E">
        <w:t xml:space="preserve">).  </w:t>
      </w:r>
    </w:p>
    <w:p w:rsidR="00263809" w:rsidRDefault="00776399" w:rsidP="008C28E9">
      <w:pPr>
        <w:spacing w:line="480" w:lineRule="auto"/>
        <w:ind w:firstLine="720"/>
      </w:pPr>
      <w:r>
        <w:t xml:space="preserve">The Stringency metric is considered expansive for </w:t>
      </w:r>
      <w:r w:rsidR="00B044EB">
        <w:t xml:space="preserve">a </w:t>
      </w:r>
      <w:r>
        <w:t xml:space="preserve">particular month if the effective fed funds rate decreases from month </w:t>
      </w:r>
      <w:r w:rsidRPr="00695F64">
        <w:rPr>
          <w:i/>
        </w:rPr>
        <w:t>(t-1)</w:t>
      </w:r>
      <w:r>
        <w:t xml:space="preserve"> to month </w:t>
      </w:r>
      <w:r w:rsidRPr="00695F64">
        <w:rPr>
          <w:i/>
        </w:rPr>
        <w:t>(t).</w:t>
      </w:r>
      <w:r>
        <w:t xml:space="preserve">  If the fed funds rate increases from month </w:t>
      </w:r>
      <w:r w:rsidRPr="00695F64">
        <w:rPr>
          <w:i/>
        </w:rPr>
        <w:t>(t-1)</w:t>
      </w:r>
      <w:r>
        <w:t xml:space="preserve"> to month </w:t>
      </w:r>
      <w:r w:rsidRPr="00695F64">
        <w:rPr>
          <w:i/>
        </w:rPr>
        <w:t>(t)</w:t>
      </w:r>
      <w:r>
        <w:t xml:space="preserve"> Stringency is considered restrictive.  When the fed funds rate does not change from i</w:t>
      </w:r>
      <w:r w:rsidR="00263809">
        <w:t xml:space="preserve">ts value in the prior month </w:t>
      </w:r>
      <w:r>
        <w:t>Stringency</w:t>
      </w:r>
      <w:r w:rsidR="00263809">
        <w:t xml:space="preserve"> retains i</w:t>
      </w:r>
      <w:r w:rsidR="00B044EB">
        <w:t>t</w:t>
      </w:r>
      <w:r w:rsidR="00263809">
        <w:t>s value from the prior month.</w:t>
      </w:r>
      <w:r>
        <w:t xml:space="preserve"> </w:t>
      </w:r>
      <w:r w:rsidR="00B044EB">
        <w:t xml:space="preserve">Changes in the discount </w:t>
      </w:r>
      <w:r w:rsidR="00B044EB">
        <w:lastRenderedPageBreak/>
        <w:t>rate are used in a comparable fashion and identify f</w:t>
      </w:r>
      <w:r w:rsidR="00263809">
        <w:t>undamental</w:t>
      </w:r>
      <w:r w:rsidR="00F10A5F">
        <w:t xml:space="preserve"> shifts </w:t>
      </w:r>
      <w:r w:rsidR="00B044EB">
        <w:t xml:space="preserve">in the Fed’s monetary policy </w:t>
      </w:r>
      <w:r w:rsidR="00740B8F">
        <w:t>s</w:t>
      </w:r>
      <w:r w:rsidR="00B044EB">
        <w:t>tance.</w:t>
      </w:r>
      <w:r w:rsidR="00F10A5F">
        <w:t xml:space="preserve">  </w:t>
      </w:r>
      <w:r w:rsidR="00B044EB">
        <w:t xml:space="preserve">Shifts in Fed Stance </w:t>
      </w:r>
      <w:r w:rsidR="00F10A5F">
        <w:t xml:space="preserve">occur </w:t>
      </w:r>
      <w:r w:rsidR="00B044EB">
        <w:t xml:space="preserve">much </w:t>
      </w:r>
      <w:r w:rsidR="00F10A5F">
        <w:t xml:space="preserve">less frequently than the shifts in </w:t>
      </w:r>
      <w:r w:rsidR="00A97A32">
        <w:t>Stringency</w:t>
      </w:r>
      <w:r w:rsidR="00F10A5F">
        <w:t xml:space="preserve">.  </w:t>
      </w:r>
    </w:p>
    <w:p w:rsidR="009C1C5F" w:rsidRDefault="00ED73D1" w:rsidP="008C28E9">
      <w:pPr>
        <w:spacing w:line="480" w:lineRule="auto"/>
        <w:ind w:firstLine="720"/>
      </w:pPr>
      <w:r>
        <w:t xml:space="preserve">This classification </w:t>
      </w:r>
      <w:r w:rsidR="00F10A5F">
        <w:t>of fundamental shifts</w:t>
      </w:r>
      <w:r>
        <w:t xml:space="preserve"> has been shown in previous analyses to effectively differentiate </w:t>
      </w:r>
      <w:r w:rsidR="000453BA">
        <w:t xml:space="preserve">monetary conditions.  Jensen, Mercer and Johnson </w:t>
      </w:r>
      <w:r w:rsidR="00AB6C37">
        <w:t>[</w:t>
      </w:r>
      <w:r w:rsidR="000453BA">
        <w:t>1996</w:t>
      </w:r>
      <w:r w:rsidR="00AB6C37">
        <w:t>]</w:t>
      </w:r>
      <w:r w:rsidR="00B044EB">
        <w:t xml:space="preserve"> and Jensen and Moorman </w:t>
      </w:r>
      <w:r w:rsidR="009A5C65">
        <w:t>[</w:t>
      </w:r>
      <w:r w:rsidR="00B044EB">
        <w:t>2010</w:t>
      </w:r>
      <w:r w:rsidR="009A5C65">
        <w:t>]</w:t>
      </w:r>
      <w:r w:rsidR="00A97A32">
        <w:t xml:space="preserve"> </w:t>
      </w:r>
      <w:r w:rsidR="000453BA">
        <w:t>show that this approach defines periods with significantly different levels, and rates of change</w:t>
      </w:r>
      <w:r w:rsidR="00B57E17">
        <w:t>,</w:t>
      </w:r>
      <w:r w:rsidR="000453BA">
        <w:t xml:space="preserve"> in monetary and reserve aggregates.  To avoid any look-ahead bias, </w:t>
      </w:r>
      <w:r w:rsidR="005C3C72">
        <w:t xml:space="preserve">we reclassify </w:t>
      </w:r>
      <w:r w:rsidR="000453BA">
        <w:t xml:space="preserve">the monetary environment </w:t>
      </w:r>
      <w:r w:rsidR="002169E4">
        <w:t xml:space="preserve">in </w:t>
      </w:r>
      <w:r w:rsidR="005C3C72">
        <w:t>t</w:t>
      </w:r>
      <w:r w:rsidR="000453BA">
        <w:t xml:space="preserve">he month following the announced change in </w:t>
      </w:r>
      <w:r w:rsidR="00B044EB">
        <w:t xml:space="preserve">a policy </w:t>
      </w:r>
      <w:r w:rsidR="000453BA">
        <w:t>rate.</w:t>
      </w:r>
      <w:r w:rsidR="000453BA" w:rsidRPr="000453BA">
        <w:rPr>
          <w:rStyle w:val="FootnoteReference"/>
          <w:vertAlign w:val="superscript"/>
        </w:rPr>
        <w:footnoteReference w:id="7"/>
      </w:r>
      <w:r>
        <w:t xml:space="preserve"> </w:t>
      </w:r>
      <w:r w:rsidR="00693958">
        <w:t xml:space="preserve">   </w:t>
      </w:r>
      <w:r w:rsidR="009C1C5F">
        <w:t xml:space="preserve"> </w:t>
      </w:r>
    </w:p>
    <w:p w:rsidR="007756C2" w:rsidRDefault="003833AC" w:rsidP="008C28E9">
      <w:pPr>
        <w:spacing w:line="480" w:lineRule="auto"/>
        <w:ind w:firstLine="720"/>
      </w:pPr>
      <w:r>
        <w:t xml:space="preserve">We conduct </w:t>
      </w:r>
      <w:r w:rsidR="00F10A5F">
        <w:t xml:space="preserve">three levels of analysis </w:t>
      </w:r>
      <w:r>
        <w:t xml:space="preserve">to </w:t>
      </w:r>
      <w:r w:rsidR="000453BA">
        <w:t xml:space="preserve">examine the relationship between security returns and political and monetary conditions.  </w:t>
      </w:r>
      <w:r>
        <w:t xml:space="preserve">First, we </w:t>
      </w:r>
      <w:r w:rsidR="00F10A5F">
        <w:t xml:space="preserve">review the differences in each of the four political and monetary factors </w:t>
      </w:r>
      <w:r w:rsidR="00B044EB">
        <w:t>independently of each other.</w:t>
      </w:r>
      <w:r w:rsidR="00F10A5F">
        <w:t xml:space="preserve">  Second, we </w:t>
      </w:r>
      <w:r w:rsidR="000453BA">
        <w:t>use standard difference</w:t>
      </w:r>
      <w:r w:rsidR="00EB7F21">
        <w:t>-</w:t>
      </w:r>
      <w:r w:rsidR="000453BA">
        <w:t>in</w:t>
      </w:r>
      <w:r w:rsidR="00EB7F21">
        <w:t>-</w:t>
      </w:r>
      <w:r w:rsidR="000453BA">
        <w:t xml:space="preserve">means tests across various classifications to examine </w:t>
      </w:r>
      <w:r w:rsidR="00C1449A">
        <w:t>the</w:t>
      </w:r>
      <w:r w:rsidR="002F6E47">
        <w:t xml:space="preserve"> </w:t>
      </w:r>
      <w:r w:rsidR="000453BA">
        <w:t>primary</w:t>
      </w:r>
      <w:r w:rsidR="00C1449A">
        <w:t xml:space="preserve"> </w:t>
      </w:r>
      <w:r w:rsidR="000453BA">
        <w:t>relationship</w:t>
      </w:r>
      <w:r w:rsidR="002F6E47">
        <w:t>s</w:t>
      </w:r>
      <w:r w:rsidR="000453BA">
        <w:t xml:space="preserve"> between security returns and:  </w:t>
      </w:r>
      <w:r w:rsidR="002F6E47">
        <w:t xml:space="preserve">the </w:t>
      </w:r>
      <w:r w:rsidR="000453BA">
        <w:t xml:space="preserve">party of the </w:t>
      </w:r>
      <w:r w:rsidR="00AC6D1E">
        <w:t>p</w:t>
      </w:r>
      <w:r w:rsidR="000453BA">
        <w:t xml:space="preserve">resident, political gridlock, </w:t>
      </w:r>
      <w:r w:rsidR="00F10A5F">
        <w:t xml:space="preserve">the term cycle effect, </w:t>
      </w:r>
      <w:r w:rsidR="000453BA">
        <w:t xml:space="preserve">and </w:t>
      </w:r>
      <w:r w:rsidR="002F6E47">
        <w:t>monetary</w:t>
      </w:r>
      <w:r w:rsidR="007577AB">
        <w:t xml:space="preserve"> </w:t>
      </w:r>
      <w:r w:rsidR="002F6E47">
        <w:t>conditions.  The primary relationships examine the variable of interest without controlling for</w:t>
      </w:r>
      <w:r w:rsidR="00C1449A">
        <w:t xml:space="preserve"> </w:t>
      </w:r>
      <w:r w:rsidR="00F10A5F">
        <w:t xml:space="preserve">the remaining </w:t>
      </w:r>
      <w:r w:rsidR="00264EA1">
        <w:t xml:space="preserve">qualitative </w:t>
      </w:r>
      <w:r w:rsidR="002F6E47">
        <w:t xml:space="preserve">variables.  </w:t>
      </w:r>
      <w:r w:rsidR="00F10A5F">
        <w:t>Last</w:t>
      </w:r>
      <w:r w:rsidR="002F6E47">
        <w:t xml:space="preserve">, </w:t>
      </w:r>
      <w:r w:rsidR="00EB7F21">
        <w:t xml:space="preserve">for each index, </w:t>
      </w:r>
      <w:r w:rsidR="005439E4">
        <w:t xml:space="preserve">we </w:t>
      </w:r>
      <w:r w:rsidR="002F6E47">
        <w:t xml:space="preserve">estimate </w:t>
      </w:r>
      <w:r w:rsidR="005439E4">
        <w:t xml:space="preserve">regressions </w:t>
      </w:r>
      <w:r w:rsidR="00EB7F21">
        <w:t xml:space="preserve">with </w:t>
      </w:r>
      <w:r w:rsidR="005439E4">
        <w:t>return</w:t>
      </w:r>
      <w:r w:rsidR="00EB7F21">
        <w:t xml:space="preserve"> as the dependent variable and </w:t>
      </w:r>
      <w:r w:rsidR="00F10A5F">
        <w:t>four</w:t>
      </w:r>
      <w:r w:rsidR="00C1449A">
        <w:t xml:space="preserve"> sets of qualitative v</w:t>
      </w:r>
      <w:r w:rsidR="005439E4">
        <w:t xml:space="preserve">ariables </w:t>
      </w:r>
      <w:r w:rsidR="00C1449A">
        <w:t>corresponding to</w:t>
      </w:r>
      <w:r w:rsidR="00264EA1">
        <w:t>:</w:t>
      </w:r>
      <w:r w:rsidR="00C1449A">
        <w:t xml:space="preserve"> </w:t>
      </w:r>
      <w:r w:rsidR="005439E4">
        <w:t>the</w:t>
      </w:r>
      <w:r w:rsidR="00C1449A">
        <w:t xml:space="preserve"> party of the </w:t>
      </w:r>
      <w:r w:rsidR="00AC6D1E">
        <w:t>p</w:t>
      </w:r>
      <w:r w:rsidR="005439E4">
        <w:t xml:space="preserve">resident, </w:t>
      </w:r>
      <w:r w:rsidR="00F10A5F">
        <w:t xml:space="preserve">the presence or absence of political gridlock, whether or not returns occur in the third </w:t>
      </w:r>
      <w:r w:rsidR="00752F98">
        <w:t xml:space="preserve">year of the </w:t>
      </w:r>
      <w:r w:rsidR="00F10A5F">
        <w:lastRenderedPageBreak/>
        <w:t xml:space="preserve">term cycle, and </w:t>
      </w:r>
      <w:r w:rsidR="00C1449A">
        <w:t xml:space="preserve">the </w:t>
      </w:r>
      <w:r w:rsidR="005439E4">
        <w:t>monetary policy</w:t>
      </w:r>
      <w:r w:rsidR="00C1449A">
        <w:t xml:space="preserve"> stance</w:t>
      </w:r>
      <w:r w:rsidR="00F10A5F">
        <w:t xml:space="preserve"> of the Fed.</w:t>
      </w:r>
      <w:r w:rsidR="00463C21">
        <w:t xml:space="preserve">  </w:t>
      </w:r>
      <w:r w:rsidR="00C1449A">
        <w:t>Th</w:t>
      </w:r>
      <w:r w:rsidR="00B57E17">
        <w:t>is</w:t>
      </w:r>
      <w:r w:rsidR="00C1449A">
        <w:t xml:space="preserve"> regression analysis allows us to control for </w:t>
      </w:r>
      <w:r w:rsidR="007D0844">
        <w:t xml:space="preserve">the </w:t>
      </w:r>
      <w:r w:rsidR="00C1449A">
        <w:t xml:space="preserve">other </w:t>
      </w:r>
      <w:r w:rsidR="00F10A5F">
        <w:t>three</w:t>
      </w:r>
      <w:r w:rsidR="007D0844">
        <w:t xml:space="preserve"> </w:t>
      </w:r>
      <w:r w:rsidR="00C1449A">
        <w:t>factors when examining the relationship between a particular variable and security returns.</w:t>
      </w:r>
      <w:r w:rsidR="00264EA1">
        <w:t xml:space="preserve">  </w:t>
      </w:r>
      <w:r w:rsidR="00AC6D1E">
        <w:t>Since se</w:t>
      </w:r>
      <w:r w:rsidR="00264EA1">
        <w:t xml:space="preserve">curity returns are </w:t>
      </w:r>
      <w:r w:rsidR="00AC6D1E">
        <w:t xml:space="preserve">likely to be </w:t>
      </w:r>
      <w:r w:rsidR="00264EA1">
        <w:t xml:space="preserve">influenced by both fiscal and monetary policy, failure to control for the </w:t>
      </w:r>
      <w:r w:rsidR="00F10A5F">
        <w:t>three</w:t>
      </w:r>
      <w:r w:rsidR="007D0844">
        <w:t xml:space="preserve"> omitted</w:t>
      </w:r>
      <w:r w:rsidR="00264EA1">
        <w:t xml:space="preserve"> variables </w:t>
      </w:r>
      <w:r w:rsidR="00B044EB">
        <w:t xml:space="preserve">is likely to </w:t>
      </w:r>
      <w:r w:rsidR="00264EA1">
        <w:t xml:space="preserve">result in mis-specified models and </w:t>
      </w:r>
      <w:r w:rsidR="00E54E7E">
        <w:t>increase</w:t>
      </w:r>
      <w:r w:rsidR="00B044EB">
        <w:t>s</w:t>
      </w:r>
      <w:r w:rsidR="00E54E7E">
        <w:t xml:space="preserve"> the </w:t>
      </w:r>
      <w:r w:rsidR="00DF430B">
        <w:t>likelihood</w:t>
      </w:r>
      <w:r w:rsidR="00E54E7E">
        <w:t xml:space="preserve"> of producing biased </w:t>
      </w:r>
      <w:r w:rsidR="00264EA1">
        <w:t xml:space="preserve">findings.  </w:t>
      </w:r>
    </w:p>
    <w:p w:rsidR="003833AC" w:rsidRDefault="005439E4" w:rsidP="008C28E9">
      <w:pPr>
        <w:spacing w:line="480" w:lineRule="auto"/>
        <w:ind w:firstLine="720"/>
      </w:pPr>
      <w:r>
        <w:t xml:space="preserve">  </w:t>
      </w:r>
    </w:p>
    <w:p w:rsidR="000B5C7E" w:rsidRDefault="000B5C7E" w:rsidP="000C7451">
      <w:pPr>
        <w:pStyle w:val="Heading2"/>
        <w:widowControl/>
        <w:spacing w:line="480" w:lineRule="auto"/>
        <w:jc w:val="left"/>
        <w:rPr>
          <w:sz w:val="24"/>
        </w:rPr>
      </w:pPr>
      <w:r>
        <w:rPr>
          <w:sz w:val="24"/>
        </w:rPr>
        <w:t>RESULTS</w:t>
      </w:r>
    </w:p>
    <w:p w:rsidR="008D3136" w:rsidRDefault="008D3136" w:rsidP="008D3136">
      <w:pPr>
        <w:spacing w:line="480" w:lineRule="auto"/>
        <w:ind w:firstLine="720"/>
      </w:pPr>
      <w:r>
        <w:t>Figure 1 illustrates the return differences under Democratic and Republican Presidencies from 1965-2008.  As suggested in prior research</w:t>
      </w:r>
      <w:r w:rsidR="002C0D21">
        <w:t xml:space="preserve"> (</w:t>
      </w:r>
      <w:r w:rsidR="00E122CE">
        <w:t xml:space="preserve">e.g., </w:t>
      </w:r>
      <w:r>
        <w:t>J</w:t>
      </w:r>
      <w:r w:rsidR="002C0D21">
        <w:t>ohnson, Chittenden and Jensen [1999], Santa-Clara and Valkanov [2003], and Sy and Zaman [2011])</w:t>
      </w:r>
      <w:r>
        <w:t xml:space="preserve">, returns are </w:t>
      </w:r>
      <w:r w:rsidR="00310040">
        <w:t>high</w:t>
      </w:r>
      <w:r>
        <w:t xml:space="preserve">er when a </w:t>
      </w:r>
      <w:r w:rsidR="00310040">
        <w:t>D</w:t>
      </w:r>
      <w:r>
        <w:t xml:space="preserve">emocrat is president and are lower when a </w:t>
      </w:r>
      <w:r w:rsidR="00310040">
        <w:t>R</w:t>
      </w:r>
      <w:r>
        <w:t xml:space="preserve">epublican is president.  </w:t>
      </w:r>
      <w:r w:rsidR="002C0D21">
        <w:t>T</w:t>
      </w:r>
      <w:r>
        <w:t>his difference is magnified for the small</w:t>
      </w:r>
      <w:r w:rsidR="00310040">
        <w:t xml:space="preserve"> stock</w:t>
      </w:r>
      <w:r>
        <w:t xml:space="preserve"> index.  </w:t>
      </w:r>
    </w:p>
    <w:p w:rsidR="008D3136" w:rsidRDefault="005F7D8B" w:rsidP="008D3136">
      <w:pPr>
        <w:spacing w:line="480" w:lineRule="auto"/>
        <w:ind w:firstLine="720"/>
      </w:pPr>
      <w:r>
        <w:t>Figure 2 depicts</w:t>
      </w:r>
      <w:r w:rsidR="008D3136">
        <w:t xml:space="preserve"> the mean annualized return differences during periods of political harmony versus political gri</w:t>
      </w:r>
      <w:r w:rsidR="00644651">
        <w:t>dlock</w:t>
      </w:r>
      <w:r>
        <w:t>.  Again</w:t>
      </w:r>
      <w:r w:rsidR="003A6752">
        <w:t>,</w:t>
      </w:r>
      <w:r>
        <w:t xml:space="preserve"> as suggested in prior research, </w:t>
      </w:r>
      <w:r w:rsidR="00E122CE">
        <w:t>(e.g., Beyer</w:t>
      </w:r>
      <w:r>
        <w:t>, Jensen</w:t>
      </w:r>
      <w:r w:rsidR="00E122CE">
        <w:t xml:space="preserve"> and Johnson</w:t>
      </w:r>
      <w:r>
        <w:t xml:space="preserve"> </w:t>
      </w:r>
      <w:r w:rsidR="00E122CE">
        <w:t>[2006] and Sy, Zamon [2011])</w:t>
      </w:r>
      <w:r>
        <w:t xml:space="preserve">, returns for the small stock index are notably </w:t>
      </w:r>
      <w:r w:rsidR="00E122CE">
        <w:t>higher</w:t>
      </w:r>
      <w:r>
        <w:t xml:space="preserve"> during periods of harmony.  </w:t>
      </w:r>
      <w:r w:rsidR="00E122CE">
        <w:t>On the other hand</w:t>
      </w:r>
      <w:r>
        <w:t xml:space="preserve">, large stock index returns are virtually identical during periods of political harmony and political gridlock.  </w:t>
      </w:r>
      <w:r w:rsidR="008D3136">
        <w:t xml:space="preserve"> </w:t>
      </w:r>
    </w:p>
    <w:p w:rsidR="001438DF" w:rsidRDefault="005F7D8B" w:rsidP="005F7D8B">
      <w:pPr>
        <w:spacing w:line="480" w:lineRule="auto"/>
        <w:ind w:firstLine="720"/>
      </w:pPr>
      <w:r>
        <w:lastRenderedPageBreak/>
        <w:t xml:space="preserve">Figure </w:t>
      </w:r>
      <w:r w:rsidR="001438DF">
        <w:t>3</w:t>
      </w:r>
      <w:r>
        <w:t xml:space="preserve"> </w:t>
      </w:r>
      <w:r w:rsidR="001438DF">
        <w:t>shows</w:t>
      </w:r>
      <w:r>
        <w:t xml:space="preserve"> the mean annualized return differences during </w:t>
      </w:r>
      <w:r w:rsidR="00644651">
        <w:t xml:space="preserve">the </w:t>
      </w:r>
      <w:r w:rsidR="001438DF">
        <w:t xml:space="preserve">third </w:t>
      </w:r>
      <w:r w:rsidR="003A6752">
        <w:t xml:space="preserve">year of the presidential </w:t>
      </w:r>
      <w:r w:rsidR="001438DF">
        <w:t xml:space="preserve">term </w:t>
      </w:r>
      <w:r>
        <w:t xml:space="preserve">versus </w:t>
      </w:r>
      <w:r w:rsidR="001438DF">
        <w:t xml:space="preserve">the remaining term years.  Prior work on the term cycle effect, </w:t>
      </w:r>
      <w:r w:rsidR="00E122CE">
        <w:t>(e.g., Booth and Booth [2003]</w:t>
      </w:r>
      <w:r>
        <w:t xml:space="preserve">, </w:t>
      </w:r>
      <w:r w:rsidR="00E122CE">
        <w:t xml:space="preserve">and </w:t>
      </w:r>
      <w:r w:rsidR="001438DF">
        <w:t>Beyer</w:t>
      </w:r>
      <w:r w:rsidR="00E122CE">
        <w:t>,</w:t>
      </w:r>
      <w:r w:rsidR="001438DF">
        <w:t xml:space="preserve"> Jensen</w:t>
      </w:r>
      <w:r w:rsidR="00E122CE">
        <w:t xml:space="preserve"> and Johnson [2008])</w:t>
      </w:r>
      <w:r w:rsidR="001438DF">
        <w:t xml:space="preserve">, </w:t>
      </w:r>
      <w:r w:rsidR="00E122CE">
        <w:t>f</w:t>
      </w:r>
      <w:r w:rsidR="00971B1E">
        <w:t>inds</w:t>
      </w:r>
      <w:r w:rsidR="003A6752">
        <w:t xml:space="preserve"> </w:t>
      </w:r>
      <w:r w:rsidR="001438DF">
        <w:t xml:space="preserve">notably </w:t>
      </w:r>
      <w:r w:rsidR="00E122CE">
        <w:t>higher</w:t>
      </w:r>
      <w:r w:rsidR="001438DF">
        <w:t xml:space="preserve"> returns during the third year </w:t>
      </w:r>
      <w:r w:rsidR="000E37E9">
        <w:t xml:space="preserve">of the presidential term </w:t>
      </w:r>
      <w:r w:rsidR="001438DF">
        <w:t>versus the remaining year</w:t>
      </w:r>
      <w:r w:rsidR="00644651">
        <w:t xml:space="preserve">s.  Figure 3 </w:t>
      </w:r>
      <w:r w:rsidR="001438DF">
        <w:t xml:space="preserve">confirms return differences for both the large and small stock indexes.  </w:t>
      </w:r>
    </w:p>
    <w:p w:rsidR="00F10A5F" w:rsidRDefault="001438DF" w:rsidP="008C28E9">
      <w:pPr>
        <w:spacing w:line="480" w:lineRule="auto"/>
        <w:ind w:firstLine="720"/>
      </w:pPr>
      <w:r>
        <w:t xml:space="preserve">Figure </w:t>
      </w:r>
      <w:r w:rsidR="00E1096B">
        <w:t xml:space="preserve">4 </w:t>
      </w:r>
      <w:r w:rsidR="003A6752">
        <w:t xml:space="preserve">presents </w:t>
      </w:r>
      <w:r>
        <w:t>the size specific returns during expansive monetary policy</w:t>
      </w:r>
      <w:r w:rsidR="00E1096B">
        <w:t>, restrictive monetary policy, and indeterminate monetary policy</w:t>
      </w:r>
      <w:r>
        <w:t>.</w:t>
      </w:r>
      <w:r w:rsidR="00E1096B">
        <w:t xml:space="preserve">  This </w:t>
      </w:r>
      <w:r w:rsidR="00E122CE">
        <w:t>evidence,</w:t>
      </w:r>
      <w:r w:rsidR="00E1096B">
        <w:t xml:space="preserve"> </w:t>
      </w:r>
      <w:r w:rsidR="003A6752">
        <w:t xml:space="preserve">confirms </w:t>
      </w:r>
      <w:r w:rsidR="00E122CE">
        <w:t>that much</w:t>
      </w:r>
      <w:r w:rsidR="00E1096B">
        <w:t xml:space="preserve"> greater returns </w:t>
      </w:r>
      <w:r w:rsidR="003A6752">
        <w:t xml:space="preserve">occur </w:t>
      </w:r>
      <w:r w:rsidR="00E1096B">
        <w:t xml:space="preserve">during expansive monetary policy </w:t>
      </w:r>
      <w:r w:rsidR="003A6752">
        <w:t xml:space="preserve">periods relative to restrictive periods </w:t>
      </w:r>
      <w:r w:rsidR="00E1096B">
        <w:t xml:space="preserve">and indeterminate periods.     </w:t>
      </w:r>
    </w:p>
    <w:p w:rsidR="009047DD" w:rsidRDefault="00B81D11" w:rsidP="008C28E9">
      <w:pPr>
        <w:spacing w:line="480" w:lineRule="auto"/>
        <w:ind w:firstLine="720"/>
      </w:pPr>
      <w:r>
        <w:t>Exhibit 1 presents the mean annual</w:t>
      </w:r>
      <w:r w:rsidR="0094442C">
        <w:t>ized</w:t>
      </w:r>
      <w:r>
        <w:t xml:space="preserve"> returns for </w:t>
      </w:r>
      <w:r w:rsidR="00EB7F21">
        <w:t xml:space="preserve">each of the </w:t>
      </w:r>
      <w:r w:rsidR="00264EA1">
        <w:t>five</w:t>
      </w:r>
      <w:r w:rsidR="00795F84">
        <w:t xml:space="preserve"> asset classes.  </w:t>
      </w:r>
      <w:r w:rsidR="00264EA1">
        <w:t xml:space="preserve">The exhibit is separated into </w:t>
      </w:r>
      <w:r w:rsidR="009E64DA">
        <w:t xml:space="preserve">four </w:t>
      </w:r>
      <w:r w:rsidR="00264EA1">
        <w:t xml:space="preserve">panels corresponding with </w:t>
      </w:r>
      <w:r w:rsidR="009E64DA">
        <w:t>four</w:t>
      </w:r>
      <w:r w:rsidR="00264EA1">
        <w:t xml:space="preserve"> alternative </w:t>
      </w:r>
      <w:r w:rsidR="009E64DA">
        <w:t>con</w:t>
      </w:r>
      <w:r w:rsidR="002729A4">
        <w:t>ditions</w:t>
      </w:r>
      <w:r w:rsidR="00264EA1">
        <w:t xml:space="preserve">, the </w:t>
      </w:r>
      <w:r w:rsidR="009047DD">
        <w:t>influence</w:t>
      </w:r>
      <w:r w:rsidR="009E64DA">
        <w:t xml:space="preserve"> of the party of the President</w:t>
      </w:r>
      <w:r w:rsidR="00264EA1">
        <w:t xml:space="preserve"> (Panel A), </w:t>
      </w:r>
      <w:r w:rsidR="009047DD">
        <w:t>the influence of political gridlock</w:t>
      </w:r>
      <w:r w:rsidR="00264EA1">
        <w:t xml:space="preserve"> (Panel B), </w:t>
      </w:r>
      <w:r w:rsidR="009047DD">
        <w:t>the influence of the Presidential term cycle</w:t>
      </w:r>
      <w:r w:rsidR="00264EA1">
        <w:t xml:space="preserve"> (Panel C)</w:t>
      </w:r>
      <w:r w:rsidR="009047DD">
        <w:t>, and the influence of monetary policy (Panel D)</w:t>
      </w:r>
      <w:r w:rsidR="00264EA1">
        <w:t xml:space="preserve">.  </w:t>
      </w:r>
    </w:p>
    <w:p w:rsidR="0094442C" w:rsidRDefault="008A4DCE" w:rsidP="008C28E9">
      <w:pPr>
        <w:spacing w:line="480" w:lineRule="auto"/>
        <w:ind w:firstLine="720"/>
      </w:pPr>
      <w:r>
        <w:t>Panel A</w:t>
      </w:r>
      <w:r w:rsidR="00795F84">
        <w:t xml:space="preserve"> shows </w:t>
      </w:r>
      <w:r w:rsidR="00F86881">
        <w:t>initial</w:t>
      </w:r>
      <w:r w:rsidR="00795F84">
        <w:t xml:space="preserve"> support for the notion that equity returns are higher during Democratic </w:t>
      </w:r>
      <w:r w:rsidR="00D74FAC">
        <w:t>administrations</w:t>
      </w:r>
      <w:r w:rsidR="00971B1E">
        <w:t xml:space="preserve">; under </w:t>
      </w:r>
      <w:r w:rsidR="00D74FAC">
        <w:t>Democratic</w:t>
      </w:r>
      <w:r w:rsidR="00C97639">
        <w:t xml:space="preserve"> presidents the S&amp;P 500 returned </w:t>
      </w:r>
      <w:r w:rsidR="00AC66BC">
        <w:t>6.87</w:t>
      </w:r>
      <w:r w:rsidR="00C97639">
        <w:t xml:space="preserve">% more than the return earned under </w:t>
      </w:r>
      <w:r w:rsidR="00D74FAC">
        <w:t>Republican presiden</w:t>
      </w:r>
      <w:r w:rsidR="00C97639">
        <w:t>ts</w:t>
      </w:r>
      <w:r>
        <w:t>.  This difference</w:t>
      </w:r>
      <w:r w:rsidR="00310040">
        <w:t>,</w:t>
      </w:r>
      <w:r>
        <w:t xml:space="preserve"> however</w:t>
      </w:r>
      <w:r w:rsidR="00DB709E">
        <w:t>,</w:t>
      </w:r>
      <w:r>
        <w:t xml:space="preserve"> is statistically insignificant.  </w:t>
      </w:r>
      <w:r w:rsidR="00276FF0">
        <w:t>More noteworthy, t</w:t>
      </w:r>
      <w:r w:rsidR="00795F84">
        <w:t>he returns for small stock</w:t>
      </w:r>
      <w:r w:rsidR="00C97639">
        <w:t>s</w:t>
      </w:r>
      <w:r w:rsidR="00795F84">
        <w:t xml:space="preserve"> are </w:t>
      </w:r>
      <w:r w:rsidR="00C97639">
        <w:t>substantia</w:t>
      </w:r>
      <w:r w:rsidR="001F2ADC">
        <w:t>lly</w:t>
      </w:r>
      <w:r w:rsidR="00C97639">
        <w:t xml:space="preserve"> higher,</w:t>
      </w:r>
      <w:r w:rsidR="00795F84">
        <w:t xml:space="preserve"> </w:t>
      </w:r>
      <w:r w:rsidR="00AC66BC">
        <w:t>1</w:t>
      </w:r>
      <w:r w:rsidR="00C97639">
        <w:t>6.7</w:t>
      </w:r>
      <w:r w:rsidR="00AC66BC">
        <w:t>3</w:t>
      </w:r>
      <w:r w:rsidR="00795F84">
        <w:t xml:space="preserve">% </w:t>
      </w:r>
      <w:r w:rsidR="00AC66BC">
        <w:t>higher</w:t>
      </w:r>
      <w:r w:rsidR="00795F84">
        <w:t xml:space="preserve">, under </w:t>
      </w:r>
      <w:r w:rsidR="00EB7F21">
        <w:t>D</w:t>
      </w:r>
      <w:r w:rsidR="00795F84">
        <w:t>emocratic</w:t>
      </w:r>
      <w:r w:rsidR="0089523A">
        <w:t xml:space="preserve"> relative to Republican</w:t>
      </w:r>
      <w:r w:rsidR="00795F84">
        <w:t xml:space="preserve"> presidents.  </w:t>
      </w:r>
      <w:r w:rsidR="001F2ADC">
        <w:t>This</w:t>
      </w:r>
      <w:r w:rsidR="00C97639">
        <w:t xml:space="preserve"> return difference for the Small Cap index </w:t>
      </w:r>
      <w:r w:rsidR="00C97639">
        <w:lastRenderedPageBreak/>
        <w:t>is both economically and statistically significant.</w:t>
      </w:r>
      <w:r w:rsidR="00795F84">
        <w:t xml:space="preserve">  </w:t>
      </w:r>
      <w:r w:rsidR="00C97639">
        <w:t>These results are consistent with previous findings</w:t>
      </w:r>
      <w:r w:rsidR="0093412A">
        <w:t xml:space="preserve"> </w:t>
      </w:r>
      <w:r w:rsidR="00402854">
        <w:t>(e.g</w:t>
      </w:r>
      <w:r w:rsidR="00C97639">
        <w:t>.</w:t>
      </w:r>
      <w:r w:rsidR="00310040">
        <w:t>,</w:t>
      </w:r>
      <w:r w:rsidR="00C97639">
        <w:t xml:space="preserve"> </w:t>
      </w:r>
      <w:r w:rsidR="00735858">
        <w:t>Johnson, Chittenden</w:t>
      </w:r>
      <w:r w:rsidR="00310040">
        <w:t xml:space="preserve"> and</w:t>
      </w:r>
      <w:r w:rsidR="00735858">
        <w:t xml:space="preserve"> Jensen </w:t>
      </w:r>
      <w:r w:rsidR="00AB6C37">
        <w:t>[</w:t>
      </w:r>
      <w:r w:rsidR="00735858">
        <w:t>1999</w:t>
      </w:r>
      <w:r w:rsidR="00AB6C37">
        <w:t>]</w:t>
      </w:r>
      <w:r w:rsidR="001F2ADC">
        <w:t xml:space="preserve">, </w:t>
      </w:r>
      <w:r w:rsidR="00735858">
        <w:t xml:space="preserve">Santa-Clara and Valkanov </w:t>
      </w:r>
      <w:r w:rsidR="00AB6C37">
        <w:t>[</w:t>
      </w:r>
      <w:r w:rsidR="00735858">
        <w:t>2003</w:t>
      </w:r>
      <w:r w:rsidR="00AB6C37">
        <w:t>]</w:t>
      </w:r>
      <w:r w:rsidR="00AC66BC">
        <w:t>, and Sy and Zaman [2011]</w:t>
      </w:r>
      <w:r w:rsidR="0093412A">
        <w:t>)</w:t>
      </w:r>
      <w:r w:rsidR="00735858">
        <w:t xml:space="preserve">, and suggest that fiscal policy actions enacted by Democratic presidents have been more favorable for equity performance than the policies enacted during Republican administrations.  </w:t>
      </w:r>
    </w:p>
    <w:p w:rsidR="00735858" w:rsidRDefault="00735858" w:rsidP="008C28E9">
      <w:pPr>
        <w:spacing w:line="480" w:lineRule="auto"/>
        <w:ind w:firstLine="720"/>
      </w:pPr>
      <w:r>
        <w:t xml:space="preserve">In contrast to equity performance, </w:t>
      </w:r>
      <w:r w:rsidR="006C17CC">
        <w:t xml:space="preserve">the </w:t>
      </w:r>
      <w:r>
        <w:t xml:space="preserve">Exhibit 1 </w:t>
      </w:r>
      <w:r w:rsidR="006C17CC">
        <w:t xml:space="preserve">findings </w:t>
      </w:r>
      <w:r>
        <w:t xml:space="preserve">show that </w:t>
      </w:r>
      <w:r w:rsidR="001F2ADC">
        <w:t>l</w:t>
      </w:r>
      <w:r w:rsidR="00AC66BC">
        <w:t xml:space="preserve">ong-term corporate </w:t>
      </w:r>
      <w:r>
        <w:t>fixed-income securities experienced superior performance during Republican administrations.</w:t>
      </w:r>
      <w:r w:rsidR="00BB10DB" w:rsidRPr="00BB10DB">
        <w:rPr>
          <w:rStyle w:val="FootnoteReference"/>
          <w:vertAlign w:val="superscript"/>
        </w:rPr>
        <w:footnoteReference w:id="8"/>
      </w:r>
      <w:r>
        <w:t xml:space="preserve">  </w:t>
      </w:r>
      <w:r w:rsidR="006C17CC">
        <w:t xml:space="preserve">The return differences are </w:t>
      </w:r>
      <w:r w:rsidR="0089523A">
        <w:t xml:space="preserve">highly </w:t>
      </w:r>
      <w:r w:rsidR="006C17CC">
        <w:t>economical</w:t>
      </w:r>
      <w:r w:rsidR="00DB709E">
        <w:t>ly</w:t>
      </w:r>
      <w:r w:rsidR="006C17CC">
        <w:t xml:space="preserve"> and statistically significant, suggesting that policy actions during Republican administrations were more conducive to stable or decreasing interest rates.  </w:t>
      </w:r>
      <w:r w:rsidR="00971B1E">
        <w:t xml:space="preserve">Interestingly, </w:t>
      </w:r>
      <w:r w:rsidR="006C17CC">
        <w:t xml:space="preserve">the real returns (returns less inflation) earned by </w:t>
      </w:r>
      <w:r w:rsidR="00971B1E">
        <w:t xml:space="preserve">investors in corporate bonds </w:t>
      </w:r>
      <w:r w:rsidR="006C17CC">
        <w:t>were substantial during Republican administrations, but</w:t>
      </w:r>
      <w:r w:rsidR="001F2ADC">
        <w:t xml:space="preserve"> </w:t>
      </w:r>
      <w:r w:rsidR="006C17CC">
        <w:t xml:space="preserve">were </w:t>
      </w:r>
      <w:r w:rsidR="001F2ADC">
        <w:t xml:space="preserve">actually </w:t>
      </w:r>
      <w:r w:rsidR="00AC66BC">
        <w:t xml:space="preserve">negative </w:t>
      </w:r>
      <w:r w:rsidR="00971B1E">
        <w:t>during Democratic administrations.</w:t>
      </w:r>
      <w:r w:rsidR="006C17CC">
        <w:t xml:space="preserve"> The inflation index suggests that fiscal policy actions during Democratic administrations</w:t>
      </w:r>
      <w:r w:rsidR="00ED2154">
        <w:t xml:space="preserve"> </w:t>
      </w:r>
      <w:r w:rsidR="006C17CC">
        <w:t xml:space="preserve">were </w:t>
      </w:r>
      <w:r w:rsidR="00261C38">
        <w:t xml:space="preserve">more likely to spur inflation.  </w:t>
      </w:r>
    </w:p>
    <w:p w:rsidR="00261C38" w:rsidRDefault="00232084" w:rsidP="008C28E9">
      <w:pPr>
        <w:spacing w:line="480" w:lineRule="auto"/>
        <w:ind w:firstLine="720"/>
      </w:pPr>
      <w:r>
        <w:t>Panel B</w:t>
      </w:r>
      <w:r w:rsidR="00261C38">
        <w:t xml:space="preserve"> shows the mean annualized returns for the five asset classes during periods </w:t>
      </w:r>
      <w:r>
        <w:t>of political gridlock and political harmony</w:t>
      </w:r>
      <w:r w:rsidR="00261C38">
        <w:t xml:space="preserve">.  </w:t>
      </w:r>
      <w:r w:rsidR="00BB10DB">
        <w:t>L</w:t>
      </w:r>
      <w:r w:rsidR="00ED2154">
        <w:t>arge caps</w:t>
      </w:r>
      <w:r w:rsidR="00261C38">
        <w:t xml:space="preserve"> performed </w:t>
      </w:r>
      <w:r w:rsidR="00ED2154">
        <w:t>almost identically</w:t>
      </w:r>
      <w:r w:rsidR="00261C38">
        <w:t xml:space="preserve"> during each of the two environments</w:t>
      </w:r>
      <w:r w:rsidR="00ED2154">
        <w:t xml:space="preserve">.  </w:t>
      </w:r>
      <w:r w:rsidR="006A03B9">
        <w:t>T</w:t>
      </w:r>
      <w:r w:rsidR="00261C38">
        <w:t>he Small Cap index</w:t>
      </w:r>
      <w:r w:rsidR="006A03B9">
        <w:t>, however,</w:t>
      </w:r>
      <w:r w:rsidR="00261C38">
        <w:t xml:space="preserve"> performed </w:t>
      </w:r>
      <w:r>
        <w:t>significantly stronger during periods of political harmony,</w:t>
      </w:r>
      <w:r w:rsidR="00C11A7A">
        <w:t xml:space="preserve"> </w:t>
      </w:r>
      <w:r w:rsidR="00ED2154">
        <w:t>(</w:t>
      </w:r>
      <w:r>
        <w:t>29.89%</w:t>
      </w:r>
      <w:r w:rsidR="006A03B9">
        <w:t xml:space="preserve"> versus </w:t>
      </w:r>
      <w:r>
        <w:t>8.67</w:t>
      </w:r>
      <w:r w:rsidR="006A03B9">
        <w:t>%</w:t>
      </w:r>
      <w:r w:rsidR="00ED2154">
        <w:t>)</w:t>
      </w:r>
      <w:r w:rsidR="00C11A7A">
        <w:t>.</w:t>
      </w:r>
      <w:r w:rsidR="00261C38">
        <w:t xml:space="preserve">  </w:t>
      </w:r>
      <w:r w:rsidR="008B1026">
        <w:t>T</w:t>
      </w:r>
      <w:r w:rsidR="00261C38">
        <w:t xml:space="preserve">he return difference for the Small Cap index </w:t>
      </w:r>
      <w:r w:rsidR="008B1026">
        <w:t xml:space="preserve">is both </w:t>
      </w:r>
      <w:r w:rsidR="008B1026">
        <w:lastRenderedPageBreak/>
        <w:t xml:space="preserve">sizeable and statistically </w:t>
      </w:r>
      <w:r w:rsidR="00261C38">
        <w:t>significant.  These findings are contrary to the popular belief that the equity market prefers political gridlock.</w:t>
      </w:r>
      <w:r w:rsidR="006A03B9">
        <w:t xml:space="preserve">  </w:t>
      </w:r>
      <w:r w:rsidR="00ED2154">
        <w:t>On the other hand, t</w:t>
      </w:r>
      <w:r w:rsidR="006A03B9">
        <w:t xml:space="preserve">he return </w:t>
      </w:r>
      <w:r w:rsidR="008B1026">
        <w:t xml:space="preserve">differences for the long-term corporate bond index </w:t>
      </w:r>
      <w:r w:rsidR="00ED2154">
        <w:t>provide evidence</w:t>
      </w:r>
      <w:r w:rsidR="006A03B9">
        <w:t xml:space="preserve"> that </w:t>
      </w:r>
      <w:r w:rsidR="00DB709E">
        <w:t xml:space="preserve">the </w:t>
      </w:r>
      <w:r w:rsidR="006A03B9">
        <w:t xml:space="preserve">bond market prospers during periods of political gridlock.  Perhaps the inability to enact significant legislation during such periods serves to maintain a stable or decreasing interest rate environment.  Interestingly, gridlock appears advantageous for the </w:t>
      </w:r>
      <w:r w:rsidR="00971B1E">
        <w:t>fixed-income</w:t>
      </w:r>
      <w:r w:rsidR="006A03B9">
        <w:t xml:space="preserve"> market, </w:t>
      </w:r>
      <w:r w:rsidR="008B1026">
        <w:t xml:space="preserve">and </w:t>
      </w:r>
      <w:r w:rsidR="002729A4">
        <w:t>gridlock</w:t>
      </w:r>
      <w:r w:rsidR="006A03B9">
        <w:t xml:space="preserve"> corresponds with periods of </w:t>
      </w:r>
      <w:r w:rsidR="008B1026">
        <w:t>lower</w:t>
      </w:r>
      <w:r w:rsidR="006A03B9">
        <w:t xml:space="preserve"> inflation.</w:t>
      </w:r>
    </w:p>
    <w:p w:rsidR="00AC67B5" w:rsidRDefault="006A3BBB" w:rsidP="008C28E9">
      <w:pPr>
        <w:spacing w:line="480" w:lineRule="auto"/>
        <w:ind w:firstLine="720"/>
      </w:pPr>
      <w:r>
        <w:t xml:space="preserve">  </w:t>
      </w:r>
      <w:r w:rsidR="00AC67B5">
        <w:t xml:space="preserve">Panel </w:t>
      </w:r>
      <w:r w:rsidR="00E22446">
        <w:t>C</w:t>
      </w:r>
      <w:r w:rsidR="00AC67B5">
        <w:t xml:space="preserve"> shows the mean annualized returns for the five asset classes during </w:t>
      </w:r>
      <w:r w:rsidR="00E22446">
        <w:t xml:space="preserve">the third year of the Presidential term cycle </w:t>
      </w:r>
      <w:r w:rsidR="00971B1E">
        <w:t xml:space="preserve">versus the other three </w:t>
      </w:r>
      <w:r w:rsidR="00E22446">
        <w:t>term years.  The equity return differences are staggering in size</w:t>
      </w:r>
      <w:r w:rsidR="00971B1E">
        <w:t>,</w:t>
      </w:r>
      <w:r w:rsidR="00E22446">
        <w:t xml:space="preserve"> and</w:t>
      </w:r>
      <w:r w:rsidR="00971B1E">
        <w:t xml:space="preserve"> they are highly </w:t>
      </w:r>
      <w:r w:rsidR="00E22446">
        <w:t xml:space="preserve">statistically significant.  The S&amp;P 500 </w:t>
      </w:r>
      <w:r w:rsidR="003A6752">
        <w:t xml:space="preserve">return </w:t>
      </w:r>
      <w:r w:rsidR="00E22446">
        <w:t>is 16.98% higher during the third year of the term cycle and the small index returns are 26.87% higher.  It’s unclear here as to why the equity returns are so much greater during the third year, but Beyer, Jensen</w:t>
      </w:r>
      <w:r w:rsidR="00C94B59">
        <w:t xml:space="preserve"> and</w:t>
      </w:r>
      <w:r w:rsidR="00E22446">
        <w:t xml:space="preserve"> Johnson </w:t>
      </w:r>
      <w:r w:rsidR="00C94B59">
        <w:t>[</w:t>
      </w:r>
      <w:r w:rsidR="00E22446">
        <w:t>2008</w:t>
      </w:r>
      <w:r w:rsidR="00C94B59">
        <w:t>]</w:t>
      </w:r>
      <w:r w:rsidR="00E22446">
        <w:t xml:space="preserve"> note that the third year of a Presidential </w:t>
      </w:r>
      <w:r w:rsidR="000E37E9">
        <w:t>term</w:t>
      </w:r>
      <w:r w:rsidR="00E22446">
        <w:t xml:space="preserve"> has more often benefited from</w:t>
      </w:r>
      <w:r w:rsidR="00987F18">
        <w:t xml:space="preserve"> relatively easy</w:t>
      </w:r>
      <w:r w:rsidR="00E22446">
        <w:t xml:space="preserve"> monetary policy. </w:t>
      </w:r>
    </w:p>
    <w:p w:rsidR="003F44F9" w:rsidRDefault="00E22446" w:rsidP="008C28E9">
      <w:pPr>
        <w:spacing w:line="480" w:lineRule="auto"/>
        <w:ind w:firstLine="720"/>
      </w:pPr>
      <w:r>
        <w:t>Panel D</w:t>
      </w:r>
      <w:r w:rsidR="00DB6010">
        <w:t xml:space="preserve"> presents the mean annualized returns for the </w:t>
      </w:r>
      <w:r w:rsidR="006A3BBB">
        <w:t xml:space="preserve">five </w:t>
      </w:r>
      <w:r w:rsidR="00DB6010">
        <w:t xml:space="preserve">asset classes </w:t>
      </w:r>
      <w:r w:rsidR="00C94B59">
        <w:t>during</w:t>
      </w:r>
      <w:r w:rsidR="00DB6010">
        <w:t xml:space="preserve"> </w:t>
      </w:r>
      <w:r w:rsidR="003F44F9">
        <w:t xml:space="preserve">periods of </w:t>
      </w:r>
      <w:r w:rsidR="00DB6010">
        <w:t xml:space="preserve">expansive and restrictive </w:t>
      </w:r>
      <w:r w:rsidR="003F44F9">
        <w:t xml:space="preserve">Fed </w:t>
      </w:r>
      <w:r w:rsidR="00DB6010">
        <w:t xml:space="preserve">monetary policy.  The difference in the equity returns </w:t>
      </w:r>
      <w:r w:rsidR="00C94B59">
        <w:t>in</w:t>
      </w:r>
      <w:r w:rsidR="00DB6010">
        <w:t xml:space="preserve"> the two monetary polic</w:t>
      </w:r>
      <w:r w:rsidR="00C94B59">
        <w:t>y regimes</w:t>
      </w:r>
      <w:r w:rsidR="00DB6010">
        <w:t xml:space="preserve"> is </w:t>
      </w:r>
      <w:r>
        <w:t xml:space="preserve">also </w:t>
      </w:r>
      <w:r w:rsidR="00DB6010">
        <w:t xml:space="preserve">quite striking.  The S&amp;P 500 is </w:t>
      </w:r>
      <w:r>
        <w:t>11.70</w:t>
      </w:r>
      <w:r w:rsidR="00DB6010">
        <w:t>% higher (</w:t>
      </w:r>
      <w:r w:rsidR="00C1324E" w:rsidRPr="00A66E9A">
        <w:rPr>
          <w:i/>
        </w:rPr>
        <w:t>p</w:t>
      </w:r>
      <w:r w:rsidR="003F44F9">
        <w:t>-</w:t>
      </w:r>
      <w:r w:rsidR="00DB6010">
        <w:t xml:space="preserve">value = </w:t>
      </w:r>
      <w:r w:rsidR="003F44F9">
        <w:t>0</w:t>
      </w:r>
      <w:r w:rsidR="00DB6010">
        <w:t>.0</w:t>
      </w:r>
      <w:r>
        <w:t>3</w:t>
      </w:r>
      <w:r w:rsidR="00DB6010">
        <w:t>) and the U</w:t>
      </w:r>
      <w:r w:rsidR="003F44F9">
        <w:t>.</w:t>
      </w:r>
      <w:r w:rsidR="00DB6010">
        <w:t>S</w:t>
      </w:r>
      <w:r w:rsidR="003F44F9">
        <w:t>.</w:t>
      </w:r>
      <w:r w:rsidR="00DB6010">
        <w:t xml:space="preserve"> </w:t>
      </w:r>
      <w:r w:rsidR="003F44F9">
        <w:t>S</w:t>
      </w:r>
      <w:r w:rsidR="00DB6010">
        <w:t xml:space="preserve">mall </w:t>
      </w:r>
      <w:r w:rsidR="003F44F9">
        <w:t>Cap</w:t>
      </w:r>
      <w:r w:rsidR="00DB6010">
        <w:t xml:space="preserve"> index is </w:t>
      </w:r>
      <w:r>
        <w:t>25.63</w:t>
      </w:r>
      <w:r w:rsidR="00DB6010">
        <w:t>% higher (</w:t>
      </w:r>
      <w:r w:rsidR="00C1324E" w:rsidRPr="00A66E9A">
        <w:rPr>
          <w:i/>
        </w:rPr>
        <w:t>p</w:t>
      </w:r>
      <w:r w:rsidR="003F44F9">
        <w:t>-</w:t>
      </w:r>
      <w:r w:rsidR="00DB6010">
        <w:t xml:space="preserve">value = </w:t>
      </w:r>
      <w:r w:rsidR="003F44F9">
        <w:t>0</w:t>
      </w:r>
      <w:r w:rsidR="00DB6010">
        <w:t>.00) during expansive period</w:t>
      </w:r>
      <w:r w:rsidR="003F44F9">
        <w:t>s</w:t>
      </w:r>
      <w:r w:rsidR="00DB6010">
        <w:t xml:space="preserve"> as opposed to restrictive </w:t>
      </w:r>
      <w:r w:rsidR="00DB6010">
        <w:lastRenderedPageBreak/>
        <w:t>periods.</w:t>
      </w:r>
      <w:r w:rsidR="00654FB1" w:rsidRPr="00F94018">
        <w:rPr>
          <w:rStyle w:val="FootnoteReference"/>
          <w:vertAlign w:val="superscript"/>
        </w:rPr>
        <w:footnoteReference w:id="9"/>
      </w:r>
      <w:r w:rsidR="00DB6010" w:rsidRPr="00F94018">
        <w:rPr>
          <w:vertAlign w:val="superscript"/>
        </w:rPr>
        <w:t xml:space="preserve"> </w:t>
      </w:r>
      <w:r w:rsidR="00DB6010">
        <w:t xml:space="preserve"> </w:t>
      </w:r>
      <w:r w:rsidR="003F44F9">
        <w:t xml:space="preserve">Clearly, the equity markets have prospered during periods when the Fed has maintained an expansive </w:t>
      </w:r>
      <w:r w:rsidR="00C94B59">
        <w:t xml:space="preserve">monetary </w:t>
      </w:r>
      <w:r w:rsidR="003F44F9">
        <w:t xml:space="preserve">policy stance.  </w:t>
      </w:r>
    </w:p>
    <w:p w:rsidR="00557B0B" w:rsidRDefault="00DB6010" w:rsidP="008C28E9">
      <w:pPr>
        <w:spacing w:line="480" w:lineRule="auto"/>
        <w:ind w:firstLine="720"/>
      </w:pPr>
      <w:r>
        <w:t xml:space="preserve">Exhibit </w:t>
      </w:r>
      <w:r w:rsidR="00DD6F3B">
        <w:t>1 Panel D</w:t>
      </w:r>
      <w:r>
        <w:t xml:space="preserve"> also shows higher returns for </w:t>
      </w:r>
      <w:r w:rsidR="00DD6F3B">
        <w:t xml:space="preserve">corporate </w:t>
      </w:r>
      <w:r>
        <w:t xml:space="preserve">bonds </w:t>
      </w:r>
      <w:r w:rsidR="00C94B59">
        <w:t>during</w:t>
      </w:r>
      <w:r>
        <w:t xml:space="preserve"> expansive </w:t>
      </w:r>
      <w:r w:rsidR="003F44F9">
        <w:t xml:space="preserve">relative to restrictive </w:t>
      </w:r>
      <w:r>
        <w:t xml:space="preserve">monetary periods.  However, this </w:t>
      </w:r>
      <w:r w:rsidR="00FA2797">
        <w:t>result</w:t>
      </w:r>
      <w:r>
        <w:t xml:space="preserve"> is not statistically significant</w:t>
      </w:r>
      <w:r w:rsidR="003F44F9">
        <w:t xml:space="preserve"> at traditional levels</w:t>
      </w:r>
      <w:r>
        <w:t>.</w:t>
      </w:r>
      <w:r w:rsidR="003F44F9">
        <w:t xml:space="preserve">  In</w:t>
      </w:r>
      <w:r w:rsidR="0019092F">
        <w:t xml:space="preserve"> contrast to the equity and long-term bond indices, </w:t>
      </w:r>
      <w:r w:rsidR="003F44F9">
        <w:t xml:space="preserve">the T-bill and inflation index indicate that short-term interest rates and the inflation rate are significantly higher </w:t>
      </w:r>
      <w:r w:rsidR="0019092F">
        <w:t xml:space="preserve">during restrictive monetary periods.  This observation is consistent with </w:t>
      </w:r>
      <w:r w:rsidR="00557B0B">
        <w:t xml:space="preserve">expectations as the </w:t>
      </w:r>
      <w:r w:rsidR="0019092F">
        <w:t>Fed</w:t>
      </w:r>
      <w:r w:rsidR="00557B0B">
        <w:t xml:space="preserve"> is generally considered to </w:t>
      </w:r>
      <w:r w:rsidR="0019092F">
        <w:t xml:space="preserve">follow a restrictive monetary policy during periods when inflation is a more prominent investor concern.  </w:t>
      </w:r>
    </w:p>
    <w:p w:rsidR="00E24752" w:rsidRDefault="0019092F" w:rsidP="008C28E9">
      <w:pPr>
        <w:spacing w:line="480" w:lineRule="auto"/>
        <w:ind w:firstLine="720"/>
      </w:pPr>
      <w:r>
        <w:t xml:space="preserve">The prominence of the return patterns </w:t>
      </w:r>
      <w:r w:rsidR="00971B1E">
        <w:t xml:space="preserve">in Panel D </w:t>
      </w:r>
      <w:r>
        <w:t xml:space="preserve">for the equity and long-term bond index are accentuated by </w:t>
      </w:r>
      <w:r w:rsidR="00557B0B">
        <w:t xml:space="preserve">an evaluation of </w:t>
      </w:r>
      <w:r>
        <w:t xml:space="preserve">the real returns (nominal return less the inflation rate). </w:t>
      </w:r>
      <w:r w:rsidR="00557B0B">
        <w:t xml:space="preserve"> The S&amp;P 500 and Small Cap index produced </w:t>
      </w:r>
      <w:r w:rsidR="00B00D5C">
        <w:t xml:space="preserve"> weak </w:t>
      </w:r>
      <w:r w:rsidR="00557B0B">
        <w:t xml:space="preserve">real returns of </w:t>
      </w:r>
      <w:r w:rsidR="00B00D5C">
        <w:t>-0.76% (4.92% - 5.68%) and 1.63</w:t>
      </w:r>
      <w:r w:rsidR="00557B0B">
        <w:t>% (7.</w:t>
      </w:r>
      <w:r w:rsidR="00B00D5C">
        <w:t>31</w:t>
      </w:r>
      <w:r w:rsidR="00557B0B">
        <w:t>% – 5.</w:t>
      </w:r>
      <w:r w:rsidR="00B00D5C">
        <w:t>68</w:t>
      </w:r>
      <w:r w:rsidR="00557B0B">
        <w:t xml:space="preserve">%), respectively, during periods when the Fed was following a restrictive policy stance.  In contrast, during expansive policy periods, the </w:t>
      </w:r>
      <w:r w:rsidR="00977744">
        <w:t xml:space="preserve">corresponding </w:t>
      </w:r>
      <w:r w:rsidR="00557B0B">
        <w:t xml:space="preserve">real returns for the two indices were </w:t>
      </w:r>
      <w:r w:rsidR="00977744">
        <w:t>a</w:t>
      </w:r>
      <w:r w:rsidR="00E80720">
        <w:t>n ample</w:t>
      </w:r>
      <w:r w:rsidR="00977744">
        <w:t xml:space="preserve"> </w:t>
      </w:r>
      <w:r w:rsidR="00557B0B">
        <w:t>1</w:t>
      </w:r>
      <w:r w:rsidR="005D2C66">
        <w:t>3</w:t>
      </w:r>
      <w:r w:rsidR="00557B0B">
        <w:t>.</w:t>
      </w:r>
      <w:r w:rsidR="005D2C66">
        <w:t>6</w:t>
      </w:r>
      <w:r w:rsidR="00557B0B">
        <w:t xml:space="preserve">5% </w:t>
      </w:r>
      <w:r w:rsidR="00971B1E">
        <w:t xml:space="preserve">(16.62% - 2.97%) </w:t>
      </w:r>
      <w:r w:rsidR="00557B0B">
        <w:t>and 2</w:t>
      </w:r>
      <w:r w:rsidR="005D2C66">
        <w:t>9</w:t>
      </w:r>
      <w:r w:rsidR="00557B0B">
        <w:t>.</w:t>
      </w:r>
      <w:r w:rsidR="005D2C66">
        <w:t>97</w:t>
      </w:r>
      <w:r w:rsidR="00557B0B">
        <w:t>%</w:t>
      </w:r>
      <w:r w:rsidR="00971B1E">
        <w:t xml:space="preserve"> (32.94% - 2.97%)</w:t>
      </w:r>
      <w:r w:rsidR="00557B0B">
        <w:t>.</w:t>
      </w:r>
      <w:r w:rsidR="00977744">
        <w:t xml:space="preserve">  Interestingly, the real return to the corporate bond index during restrictive monetary periods was a negative </w:t>
      </w:r>
      <w:r w:rsidR="005D2C66">
        <w:t>15</w:t>
      </w:r>
      <w:r w:rsidR="00977744">
        <w:t xml:space="preserve"> basis points</w:t>
      </w:r>
      <w:r w:rsidR="00E80720">
        <w:t xml:space="preserve">, which indicates </w:t>
      </w:r>
      <w:r w:rsidR="00DB709E">
        <w:t>that</w:t>
      </w:r>
      <w:r w:rsidR="00A95490">
        <w:t>,</w:t>
      </w:r>
      <w:r w:rsidR="00DB709E">
        <w:t xml:space="preserve"> on average</w:t>
      </w:r>
      <w:r w:rsidR="00A95490">
        <w:t>,</w:t>
      </w:r>
      <w:r w:rsidR="00DB709E">
        <w:t xml:space="preserve"> </w:t>
      </w:r>
      <w:r w:rsidR="00E80720">
        <w:t xml:space="preserve">corporate bond investments were losing propositions during such </w:t>
      </w:r>
      <w:r w:rsidR="00E80720">
        <w:lastRenderedPageBreak/>
        <w:t>periods</w:t>
      </w:r>
      <w:r w:rsidR="00977744">
        <w:t>.  These findings provide compelling evidence that capital market investors have achieved superior returns during periods when the Fed maintained an expansive policy stance.  While varia</w:t>
      </w:r>
      <w:r w:rsidR="00971B1E">
        <w:t>tion</w:t>
      </w:r>
      <w:r w:rsidR="00DB709E">
        <w:t xml:space="preserve"> in returns</w:t>
      </w:r>
      <w:r w:rsidR="00977744">
        <w:t xml:space="preserve"> </w:t>
      </w:r>
      <w:r w:rsidR="003D546C">
        <w:t>is</w:t>
      </w:r>
      <w:r w:rsidR="00977744">
        <w:t xml:space="preserve"> not reported, expansive policy periods were also characterized as periods with lower volatility, further support</w:t>
      </w:r>
      <w:r w:rsidR="00A95490">
        <w:t>ing</w:t>
      </w:r>
      <w:r w:rsidR="00977744">
        <w:t xml:space="preserve"> </w:t>
      </w:r>
      <w:r w:rsidR="00E80720">
        <w:t xml:space="preserve">the </w:t>
      </w:r>
      <w:r w:rsidR="00977744">
        <w:t xml:space="preserve">attractiveness of these periods. </w:t>
      </w:r>
      <w:r w:rsidR="00557B0B">
        <w:t xml:space="preserve">    </w:t>
      </w:r>
      <w:r>
        <w:t xml:space="preserve">   </w:t>
      </w:r>
      <w:r w:rsidR="003F44F9">
        <w:t xml:space="preserve"> </w:t>
      </w:r>
    </w:p>
    <w:p w:rsidR="007B113A" w:rsidRDefault="00127348" w:rsidP="008C28E9">
      <w:pPr>
        <w:spacing w:line="480" w:lineRule="auto"/>
        <w:ind w:firstLine="720"/>
      </w:pPr>
      <w:r>
        <w:t xml:space="preserve">Exhibit </w:t>
      </w:r>
      <w:r w:rsidR="00683A36">
        <w:t>2</w:t>
      </w:r>
      <w:r>
        <w:t xml:space="preserve"> considers the joint influence of the political </w:t>
      </w:r>
      <w:r w:rsidR="00824356">
        <w:t>variables</w:t>
      </w:r>
      <w:r>
        <w:t xml:space="preserve"> and Fed monetary policy.  If</w:t>
      </w:r>
      <w:r w:rsidR="00A95490">
        <w:t>, as many have argued,</w:t>
      </w:r>
      <w:r>
        <w:t xml:space="preserve"> these factors are interdependent and relevant for security</w:t>
      </w:r>
      <w:r w:rsidR="002809F0">
        <w:t>-</w:t>
      </w:r>
      <w:r>
        <w:t xml:space="preserve">market performance then </w:t>
      </w:r>
      <w:r w:rsidR="007B113A">
        <w:t xml:space="preserve">the analyses presented in </w:t>
      </w:r>
      <w:r w:rsidR="00683A36">
        <w:t>Figures</w:t>
      </w:r>
      <w:r w:rsidR="007B113A">
        <w:t xml:space="preserve"> 1</w:t>
      </w:r>
      <w:r w:rsidR="00683A36">
        <w:t xml:space="preserve"> through 4, or Exhibit 1,</w:t>
      </w:r>
      <w:r w:rsidR="007B113A">
        <w:t xml:space="preserve"> are likely to </w:t>
      </w:r>
      <w:r w:rsidR="00A95490">
        <w:t xml:space="preserve">be </w:t>
      </w:r>
      <w:r w:rsidR="007B113A">
        <w:t xml:space="preserve">misleading.  </w:t>
      </w:r>
      <w:r w:rsidR="00A95490">
        <w:t>F</w:t>
      </w:r>
      <w:r w:rsidR="007B113A">
        <w:t xml:space="preserve">ailure to consider instrumental variables can result in either an understatement or overstatement of the true strength of a relationship between variables.  Consistent with the previous exhibits, </w:t>
      </w:r>
      <w:r w:rsidR="00683A36">
        <w:t xml:space="preserve">the analyses in </w:t>
      </w:r>
      <w:r w:rsidR="007B113A">
        <w:t xml:space="preserve">Exhibit </w:t>
      </w:r>
      <w:r w:rsidR="00683A36">
        <w:t>2</w:t>
      </w:r>
      <w:r w:rsidR="007B113A">
        <w:t xml:space="preserve"> </w:t>
      </w:r>
      <w:r w:rsidR="00A95490">
        <w:t>are</w:t>
      </w:r>
      <w:r w:rsidR="007B113A">
        <w:t xml:space="preserve"> </w:t>
      </w:r>
      <w:r w:rsidR="00683A36">
        <w:t>run over the same sample period</w:t>
      </w:r>
      <w:r w:rsidR="00A95490">
        <w:t xml:space="preserve"> from</w:t>
      </w:r>
      <w:r w:rsidR="00683A36">
        <w:t xml:space="preserve"> 1965</w:t>
      </w:r>
      <w:r w:rsidR="00A95490">
        <w:t xml:space="preserve"> through </w:t>
      </w:r>
      <w:r w:rsidR="00683A36">
        <w:t>2008</w:t>
      </w:r>
      <w:r w:rsidR="007B113A">
        <w:t>.</w:t>
      </w:r>
    </w:p>
    <w:p w:rsidR="00F27EA0" w:rsidRDefault="007B113A" w:rsidP="00F27EA0">
      <w:pPr>
        <w:spacing w:line="480" w:lineRule="auto"/>
        <w:ind w:firstLine="720"/>
      </w:pPr>
      <w:r>
        <w:t xml:space="preserve">To </w:t>
      </w:r>
      <w:r w:rsidR="001F58C5">
        <w:t xml:space="preserve">jointly </w:t>
      </w:r>
      <w:r>
        <w:t>e</w:t>
      </w:r>
      <w:r w:rsidR="001F58C5">
        <w:t>xamine the relationships</w:t>
      </w:r>
      <w:r>
        <w:t xml:space="preserve">, </w:t>
      </w:r>
      <w:r w:rsidR="00A37A88">
        <w:t xml:space="preserve">we estimate multiple </w:t>
      </w:r>
      <w:r>
        <w:t>regressions that contain, as independent variables, the qualitative variables described earlier.</w:t>
      </w:r>
      <w:r w:rsidR="003F43D9" w:rsidRPr="009D7B74">
        <w:rPr>
          <w:rStyle w:val="FootnoteReference"/>
          <w:vertAlign w:val="superscript"/>
        </w:rPr>
        <w:footnoteReference w:id="10"/>
      </w:r>
      <w:r w:rsidR="00F27EA0">
        <w:t xml:space="preserve"> </w:t>
      </w:r>
    </w:p>
    <w:p w:rsidR="00A37A88" w:rsidRDefault="00987F18" w:rsidP="00F27EA0">
      <w:pPr>
        <w:spacing w:line="480" w:lineRule="auto"/>
      </w:pPr>
      <w:r>
        <w:rPr>
          <w:bCs/>
        </w:rPr>
        <w:t xml:space="preserve">Consistent with </w:t>
      </w:r>
      <w:r w:rsidR="00F27EA0" w:rsidRPr="00790CF7">
        <w:t xml:space="preserve">Jensen and Moorman [2012], </w:t>
      </w:r>
      <w:r w:rsidR="00F27EA0">
        <w:rPr>
          <w:bCs/>
        </w:rPr>
        <w:t>we</w:t>
      </w:r>
      <w:r w:rsidR="00F27EA0" w:rsidRPr="00790CF7">
        <w:rPr>
          <w:bCs/>
        </w:rPr>
        <w:t xml:space="preserve"> capture</w:t>
      </w:r>
      <w:r w:rsidR="00F27EA0" w:rsidRPr="00790CF7">
        <w:t xml:space="preserve"> the monetary policy effects </w:t>
      </w:r>
      <w:r w:rsidR="00F27EA0">
        <w:t xml:space="preserve">using </w:t>
      </w:r>
      <w:r>
        <w:t xml:space="preserve">a </w:t>
      </w:r>
      <w:r w:rsidR="00F27EA0">
        <w:t>detailed qualitative classification</w:t>
      </w:r>
      <w:r w:rsidR="00971B1E">
        <w:t xml:space="preserve"> that combines the separate policy measures</w:t>
      </w:r>
      <w:r w:rsidR="00F27EA0">
        <w:t>.  Monthly data is tabulated as</w:t>
      </w:r>
      <w:r w:rsidR="00F27EA0" w:rsidRPr="00790CF7">
        <w:t xml:space="preserve"> expansive monetary policy, restrictive monetary policy, and periods in which the monetary policy stance </w:t>
      </w:r>
      <w:r>
        <w:t xml:space="preserve">is </w:t>
      </w:r>
      <w:r w:rsidR="00F27EA0" w:rsidRPr="00790CF7">
        <w:lastRenderedPageBreak/>
        <w:t>indeterminate.  In order to observe each classification</w:t>
      </w:r>
      <w:r>
        <w:t>’</w:t>
      </w:r>
      <w:r w:rsidR="00F27EA0" w:rsidRPr="00790CF7">
        <w:t>s impact</w:t>
      </w:r>
      <w:r>
        <w:t>,</w:t>
      </w:r>
      <w:r w:rsidR="00F27EA0" w:rsidRPr="00790CF7">
        <w:t xml:space="preserve"> we create binary variables for expansive</w:t>
      </w:r>
      <w:r>
        <w:t xml:space="preserve"> (1)</w:t>
      </w:r>
      <w:r w:rsidR="00F27EA0" w:rsidRPr="00790CF7">
        <w:t xml:space="preserve"> or not expansive</w:t>
      </w:r>
      <w:r>
        <w:t xml:space="preserve"> (0)</w:t>
      </w:r>
      <w:r w:rsidR="00F27EA0" w:rsidRPr="00790CF7">
        <w:t xml:space="preserve"> and restrictive</w:t>
      </w:r>
      <w:r>
        <w:t xml:space="preserve"> (1)</w:t>
      </w:r>
      <w:r w:rsidR="00F27EA0" w:rsidRPr="00790CF7">
        <w:t xml:space="preserve"> or not restrictive</w:t>
      </w:r>
      <w:r>
        <w:t xml:space="preserve"> (0)</w:t>
      </w:r>
      <w:r w:rsidR="00F27EA0">
        <w:t xml:space="preserve"> periods</w:t>
      </w:r>
      <w:r>
        <w:t>, with the indeterminate classification serving as the omitted case</w:t>
      </w:r>
      <w:r w:rsidR="00AB3EB5">
        <w:t xml:space="preserve">.  Political variables are </w:t>
      </w:r>
      <w:r w:rsidR="00971B1E">
        <w:t xml:space="preserve">represented with binary variables that reflect </w:t>
      </w:r>
      <w:r w:rsidR="00AB3EB5">
        <w:t xml:space="preserve">a simple qualitative distinction.  </w:t>
      </w:r>
      <w:r w:rsidR="007B113A">
        <w:t xml:space="preserve">The presidential </w:t>
      </w:r>
      <w:r w:rsidR="00971B1E">
        <w:t xml:space="preserve">party </w:t>
      </w:r>
      <w:r w:rsidR="007B113A">
        <w:t xml:space="preserve">variable takes a value of 1 if the president is a Republican and a value of 0 for a Democratic president.  The political gridlock </w:t>
      </w:r>
      <w:r w:rsidR="00A37A88">
        <w:t xml:space="preserve">variable </w:t>
      </w:r>
      <w:r w:rsidR="007B113A">
        <w:t xml:space="preserve">assumes a value of 1 if gridlock is present </w:t>
      </w:r>
      <w:r w:rsidR="00A37A88">
        <w:t xml:space="preserve">and 0 if there is no gridlock.  Finally, the </w:t>
      </w:r>
      <w:r w:rsidR="00AB3EB5">
        <w:t xml:space="preserve">term </w:t>
      </w:r>
      <w:r w:rsidR="00971B1E">
        <w:t>year</w:t>
      </w:r>
      <w:r w:rsidR="00AB3EB5">
        <w:t xml:space="preserve"> variable is 1 if the return is </w:t>
      </w:r>
      <w:r w:rsidR="005C5DD1">
        <w:t>in</w:t>
      </w:r>
      <w:r w:rsidR="00AB3EB5">
        <w:t xml:space="preserve"> the third year of a Presidential cycle and 0 if the returns are from any other year of the term cycle</w:t>
      </w:r>
      <w:r w:rsidR="00A37A88">
        <w:t>.</w:t>
      </w:r>
    </w:p>
    <w:p w:rsidR="008F79C3" w:rsidRDefault="00094D81" w:rsidP="008C28E9">
      <w:pPr>
        <w:spacing w:line="480" w:lineRule="auto"/>
        <w:ind w:firstLine="720"/>
      </w:pPr>
      <w:r>
        <w:t xml:space="preserve">The </w:t>
      </w:r>
      <w:r w:rsidR="00CC24A8">
        <w:t xml:space="preserve">multiple </w:t>
      </w:r>
      <w:r>
        <w:t xml:space="preserve">regression results </w:t>
      </w:r>
      <w:r w:rsidR="00AB3EB5">
        <w:t xml:space="preserve">are </w:t>
      </w:r>
      <w:r>
        <w:t xml:space="preserve">reported in </w:t>
      </w:r>
      <w:r w:rsidR="00847EFC">
        <w:t xml:space="preserve">Exhibit </w:t>
      </w:r>
      <w:r w:rsidR="00683A36">
        <w:t>2</w:t>
      </w:r>
      <w:r w:rsidR="00847EFC">
        <w:t xml:space="preserve">. </w:t>
      </w:r>
      <w:r>
        <w:t xml:space="preserve"> </w:t>
      </w:r>
      <w:r w:rsidR="00847EFC">
        <w:t>These results</w:t>
      </w:r>
      <w:r>
        <w:t xml:space="preserve"> confirm the </w:t>
      </w:r>
      <w:r w:rsidR="005C5DD1">
        <w:t>dominant</w:t>
      </w:r>
      <w:r>
        <w:t xml:space="preserve"> role of monetary conditions for security returns.  After controlling for the political landscape, monetary policy has a significant relationship with the </w:t>
      </w:r>
      <w:r w:rsidR="00AB3EB5">
        <w:t>small stock equity index</w:t>
      </w:r>
      <w:r>
        <w:t xml:space="preserve"> and is also significantly related to T-</w:t>
      </w:r>
      <w:r w:rsidR="008959F0">
        <w:t>b</w:t>
      </w:r>
      <w:r>
        <w:t xml:space="preserve">ill returns and the inflation rate.  In contrast, the party of the president is </w:t>
      </w:r>
      <w:r w:rsidR="00AB3EB5">
        <w:t xml:space="preserve">not </w:t>
      </w:r>
      <w:r>
        <w:t xml:space="preserve">significantly related to </w:t>
      </w:r>
      <w:r w:rsidR="00AB3EB5">
        <w:t xml:space="preserve">any of the indexes studied.  </w:t>
      </w:r>
      <w:r w:rsidR="005C5DD1">
        <w:t>Interestingly</w:t>
      </w:r>
      <w:r w:rsidR="00AB3EB5">
        <w:t xml:space="preserve">, </w:t>
      </w:r>
      <w:r>
        <w:t xml:space="preserve">political gridlock is significantly related to </w:t>
      </w:r>
      <w:r w:rsidR="00AB3EB5">
        <w:t>the small stock index</w:t>
      </w:r>
      <w:r w:rsidR="00CC24A8">
        <w:t xml:space="preserve">, </w:t>
      </w:r>
      <w:r>
        <w:t>corporate bond returns and T-bill returns.</w:t>
      </w:r>
      <w:r w:rsidR="00AB3EB5">
        <w:t xml:space="preserve">  </w:t>
      </w:r>
      <w:r w:rsidR="005C5DD1">
        <w:t>T</w:t>
      </w:r>
      <w:r w:rsidR="00AB3EB5">
        <w:t>he Presidential term dummy is significantly related to both the large and small equity indexes</w:t>
      </w:r>
      <w:r>
        <w:t xml:space="preserve">  </w:t>
      </w:r>
    </w:p>
    <w:p w:rsidR="00F66702" w:rsidRDefault="00F66702" w:rsidP="008C28E9">
      <w:pPr>
        <w:spacing w:line="480" w:lineRule="auto"/>
        <w:ind w:firstLine="720"/>
      </w:pPr>
      <w:r>
        <w:t xml:space="preserve">Overall, the results of the regression analysis suggest that the security-return patterns that previous studies have attributed to </w:t>
      </w:r>
      <w:r w:rsidR="00CC24A8">
        <w:t xml:space="preserve">the party of the president </w:t>
      </w:r>
      <w:r>
        <w:lastRenderedPageBreak/>
        <w:t>are more likely the result of monetary</w:t>
      </w:r>
      <w:r w:rsidR="00AB3EB5">
        <w:t xml:space="preserve"> or fiscal policy </w:t>
      </w:r>
      <w:r>
        <w:t xml:space="preserve">developments.  </w:t>
      </w:r>
      <w:r w:rsidR="00E62754">
        <w:t xml:space="preserve">Our results </w:t>
      </w:r>
      <w:r w:rsidR="00BE699C">
        <w:t xml:space="preserve">present compelling evidence </w:t>
      </w:r>
      <w:r w:rsidR="00E62754">
        <w:t xml:space="preserve">that shifts in monetary policy and the state of political gridlock are </w:t>
      </w:r>
      <w:r w:rsidR="00BE699C">
        <w:t>systematic</w:t>
      </w:r>
      <w:r w:rsidR="00E62754">
        <w:t xml:space="preserve">ally related to </w:t>
      </w:r>
      <w:r w:rsidR="00BE699C">
        <w:t>long-term security returns.</w:t>
      </w:r>
      <w:r w:rsidR="00E62754">
        <w:t xml:space="preserve">  Furthermore, the evidence indicates that the third year of a presidential term, on average, offers equity investors a significant return premium. </w:t>
      </w:r>
      <w:r w:rsidR="00BE699C">
        <w:t xml:space="preserve"> </w:t>
      </w:r>
      <w:r>
        <w:t xml:space="preserve"> </w:t>
      </w:r>
    </w:p>
    <w:p w:rsidR="000B5C7E" w:rsidRPr="003D276F" w:rsidRDefault="003D276F" w:rsidP="008C28E9">
      <w:pPr>
        <w:spacing w:line="480" w:lineRule="auto"/>
        <w:ind w:firstLine="720"/>
        <w:rPr>
          <w:sz w:val="26"/>
        </w:rPr>
      </w:pPr>
      <w:r>
        <w:t xml:space="preserve">  </w:t>
      </w:r>
    </w:p>
    <w:p w:rsidR="003D276F" w:rsidRDefault="000B5C7E" w:rsidP="000C7451">
      <w:pPr>
        <w:pStyle w:val="Heading2"/>
        <w:widowControl/>
        <w:spacing w:line="480" w:lineRule="auto"/>
        <w:jc w:val="left"/>
        <w:rPr>
          <w:sz w:val="22"/>
        </w:rPr>
      </w:pPr>
      <w:r w:rsidRPr="003D276F">
        <w:rPr>
          <w:sz w:val="24"/>
        </w:rPr>
        <w:t>CONCLUSIONS</w:t>
      </w:r>
    </w:p>
    <w:p w:rsidR="00CC24A8" w:rsidRDefault="00CC24A8" w:rsidP="00CC24A8">
      <w:pPr>
        <w:spacing w:line="480" w:lineRule="auto"/>
      </w:pPr>
      <w:r>
        <w:tab/>
        <w:t xml:space="preserve">This study conducts a comprehensive evaluation of the relationship between security return patterns and both political events and shifts in Fed monetary policy over the period from 1965 through 2008.  Our research offers three fundamental improvements on previous research:  </w:t>
      </w:r>
      <w:r w:rsidR="00C74CDF">
        <w:t xml:space="preserve">First, </w:t>
      </w:r>
      <w:r>
        <w:t xml:space="preserve">we consider the relationship between security returns and political and monetary policy developments jointly, rather than independently; </w:t>
      </w:r>
      <w:r w:rsidR="00C74CDF">
        <w:t xml:space="preserve">Second, </w:t>
      </w:r>
      <w:r>
        <w:t>we use a more valid measure of monetary policy that considers Fed policy stance (long-term strategy) and stringency (short-term actions); and finally, we consider real and nominal returns for both equities and fixed-income securities.</w:t>
      </w:r>
    </w:p>
    <w:p w:rsidR="00CD00C4" w:rsidRDefault="00CC24A8" w:rsidP="00CC24A8">
      <w:pPr>
        <w:spacing w:line="480" w:lineRule="auto"/>
      </w:pPr>
      <w:r>
        <w:tab/>
      </w:r>
      <w:r w:rsidR="00892EB2">
        <w:t xml:space="preserve">We find prominent security return patterns associated with political gridlock, the presidential term and shifts in Fed monetary policy.  As expected, the patterns are especially pronounced for small firm equities, which is consistent with the strong influence that fiscal and monetary policy actions have on the most vulnerable firms. </w:t>
      </w:r>
      <w:r w:rsidR="00CD00C4">
        <w:t xml:space="preserve">Our findings also identify considerable divergence in the </w:t>
      </w:r>
      <w:r w:rsidR="00CD00C4">
        <w:lastRenderedPageBreak/>
        <w:t>patterns across asset classes</w:t>
      </w:r>
      <w:r w:rsidR="00C74CDF">
        <w:t>;</w:t>
      </w:r>
      <w:r w:rsidR="00CD00C4">
        <w:t xml:space="preserve"> </w:t>
      </w:r>
      <w:r w:rsidR="00B76BB7">
        <w:t xml:space="preserve">this divergence </w:t>
      </w:r>
      <w:r w:rsidR="00CD00C4">
        <w:t>ha</w:t>
      </w:r>
      <w:r w:rsidR="00B76BB7">
        <w:t xml:space="preserve">s </w:t>
      </w:r>
      <w:r w:rsidR="00C74CDF">
        <w:t>several</w:t>
      </w:r>
      <w:r w:rsidR="00CD00C4">
        <w:t xml:space="preserve"> </w:t>
      </w:r>
      <w:r w:rsidR="00C74CDF">
        <w:t xml:space="preserve">implications </w:t>
      </w:r>
      <w:r w:rsidR="00CD00C4">
        <w:t xml:space="preserve">for </w:t>
      </w:r>
      <w:r w:rsidR="00E62754">
        <w:t xml:space="preserve">the </w:t>
      </w:r>
      <w:r w:rsidR="00CD00C4">
        <w:t>asset allocation decisions</w:t>
      </w:r>
      <w:r w:rsidR="00E62754">
        <w:t xml:space="preserve"> of investors</w:t>
      </w:r>
      <w:r w:rsidR="0025009A">
        <w:t xml:space="preserve"> (see Exhibit 3)</w:t>
      </w:r>
      <w:r w:rsidR="00CD00C4">
        <w:t>. In contrast to past research, we find no significant relationship between the president’s party affiliation and the returns to either equity or fixed-income securities.</w:t>
      </w:r>
    </w:p>
    <w:p w:rsidR="005A07AE" w:rsidRDefault="00CD00C4" w:rsidP="00CC24A8">
      <w:pPr>
        <w:spacing w:line="480" w:lineRule="auto"/>
      </w:pPr>
      <w:r>
        <w:tab/>
        <w:t xml:space="preserve">Overall, our empirical evidence is consistent with the following contentions. 1) Equity investors, especially those that target small-cap stocks, would be wise to monitor Fed policy actions, while paying limited attention to the party of the president. </w:t>
      </w:r>
      <w:r w:rsidR="00A57509">
        <w:t xml:space="preserve"> Investors should be particularly wary of a shift to a restrictive Fed monetary policy. </w:t>
      </w:r>
      <w:r>
        <w:t xml:space="preserve">2) </w:t>
      </w:r>
      <w:r w:rsidR="00A57509">
        <w:t>Contrary to the conventional view, e</w:t>
      </w:r>
      <w:r>
        <w:t>quity investors should w</w:t>
      </w:r>
      <w:r w:rsidR="00A57509">
        <w:t xml:space="preserve">elcome political harmony; </w:t>
      </w:r>
      <w:r w:rsidR="00B76BB7">
        <w:t xml:space="preserve">however, </w:t>
      </w:r>
      <w:r w:rsidR="00A57509">
        <w:t xml:space="preserve">debt investors </w:t>
      </w:r>
      <w:r w:rsidR="00B76BB7">
        <w:t>sh</w:t>
      </w:r>
      <w:r w:rsidR="00A57509">
        <w:t xml:space="preserve">ould prefer continued </w:t>
      </w:r>
      <w:r w:rsidR="00C74CDF">
        <w:t xml:space="preserve">political </w:t>
      </w:r>
      <w:r w:rsidR="00A57509">
        <w:t xml:space="preserve">gridlock. 3) Fed policy shifts should be reviewed </w:t>
      </w:r>
      <w:r w:rsidR="00B76BB7">
        <w:t>as potential signals of coming inflationary pressures. A shift to a restrictive policy stance should alert investors to higher future inflation and support a re-allocation to securities that offer more inflation protection (e.g.</w:t>
      </w:r>
      <w:r w:rsidR="0094478A">
        <w:t>,</w:t>
      </w:r>
      <w:r w:rsidR="00B76BB7">
        <w:t xml:space="preserve"> commodities and TIPS). </w:t>
      </w:r>
      <w:r w:rsidR="00C74CDF">
        <w:t>4) Regardless of the political outcome in November, it appears that equity investors will have to wait until the third year of the next presidential term before reaping the benefits of the election season.</w:t>
      </w:r>
      <w:r w:rsidR="005A07AE">
        <w:tab/>
      </w:r>
      <w:r w:rsidR="00CC38F0">
        <w:t xml:space="preserve"> </w:t>
      </w:r>
    </w:p>
    <w:p w:rsidR="00D80126" w:rsidRPr="006611ED" w:rsidRDefault="006611ED" w:rsidP="006611ED">
      <w:pPr>
        <w:sectPr w:rsidR="00D80126" w:rsidRPr="006611ED" w:rsidSect="00674EF0">
          <w:footerReference w:type="default" r:id="rId12"/>
          <w:endnotePr>
            <w:numFmt w:val="decimal"/>
          </w:endnotePr>
          <w:pgSz w:w="12240" w:h="15840" w:code="1"/>
          <w:pgMar w:top="2160" w:right="2160" w:bottom="2160" w:left="2160" w:header="1440" w:footer="720" w:gutter="0"/>
          <w:cols w:space="720"/>
          <w:noEndnote/>
        </w:sectPr>
      </w:pPr>
      <w:r w:rsidRPr="006611ED">
        <w:t xml:space="preserve"> </w:t>
      </w:r>
    </w:p>
    <w:p w:rsidR="002D2D66" w:rsidRPr="002D2D66" w:rsidRDefault="002D2D66" w:rsidP="00964D42">
      <w:pPr>
        <w:jc w:val="center"/>
        <w:rPr>
          <w:b/>
          <w:bCs/>
        </w:rPr>
      </w:pPr>
      <w:r w:rsidRPr="002D2D66">
        <w:rPr>
          <w:noProof/>
          <w:sz w:val="20"/>
        </w:rPr>
        <w:lastRenderedPageBreak/>
        <w:drawing>
          <wp:inline distT="0" distB="0" distL="0" distR="0">
            <wp:extent cx="5760720" cy="4111899"/>
            <wp:effectExtent l="0" t="0" r="11430"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2D66" w:rsidRPr="002D2D66" w:rsidRDefault="002D2D66" w:rsidP="00964D42">
      <w:pPr>
        <w:jc w:val="center"/>
        <w:rPr>
          <w:b/>
          <w:bCs/>
        </w:rPr>
      </w:pPr>
      <w:r w:rsidRPr="002D2D66">
        <w:rPr>
          <w:b/>
          <w:bCs/>
        </w:rPr>
        <w:t>Figure 1: Equity Returns under Democratic and Republican Presidencies 1965-2008.</w:t>
      </w:r>
    </w:p>
    <w:p w:rsidR="002D2D66" w:rsidRDefault="002D2D66" w:rsidP="002D2D66">
      <w:pPr>
        <w:jc w:val="center"/>
        <w:rPr>
          <w:b/>
        </w:rPr>
      </w:pPr>
    </w:p>
    <w:p w:rsidR="008D4BA5" w:rsidRDefault="008D4BA5" w:rsidP="002D2D66">
      <w:pPr>
        <w:jc w:val="center"/>
        <w:rPr>
          <w:b/>
        </w:rPr>
      </w:pPr>
    </w:p>
    <w:p w:rsidR="008D4BA5" w:rsidRDefault="008D4BA5" w:rsidP="002D2D66">
      <w:pPr>
        <w:jc w:val="center"/>
        <w:rPr>
          <w:b/>
        </w:rPr>
      </w:pPr>
    </w:p>
    <w:p w:rsidR="002D2D66" w:rsidRDefault="002D2D66">
      <w:pPr>
        <w:rPr>
          <w:b/>
          <w:bCs/>
        </w:rPr>
      </w:pPr>
    </w:p>
    <w:p w:rsidR="002D2D66" w:rsidRDefault="002D2D66" w:rsidP="002D2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sectPr w:rsidR="002D2D66" w:rsidSect="002D2D66">
          <w:endnotePr>
            <w:numFmt w:val="decimal"/>
          </w:endnotePr>
          <w:pgSz w:w="12240" w:h="15840" w:code="1"/>
          <w:pgMar w:top="720" w:right="720" w:bottom="720" w:left="720" w:header="720" w:footer="720" w:gutter="0"/>
          <w:cols w:space="720"/>
          <w:noEndnote/>
          <w:docGrid w:linePitch="326"/>
        </w:sectPr>
      </w:pPr>
    </w:p>
    <w:p w:rsidR="002D2D66" w:rsidRDefault="002D2D66" w:rsidP="002D2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noProof/>
        </w:rPr>
        <w:lastRenderedPageBreak/>
        <w:drawing>
          <wp:inline distT="0" distB="0" distL="0" distR="0">
            <wp:extent cx="5619750" cy="4471988"/>
            <wp:effectExtent l="0" t="0" r="1905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2D66" w:rsidRPr="002D2D66" w:rsidRDefault="002D2D66" w:rsidP="002D2D66">
      <w:pPr>
        <w:ind w:left="1440"/>
        <w:rPr>
          <w:b/>
          <w:bCs/>
        </w:rPr>
      </w:pPr>
      <w:r w:rsidRPr="002D2D66">
        <w:rPr>
          <w:b/>
          <w:bCs/>
        </w:rPr>
        <w:t xml:space="preserve">Figure 2: Equity Returns under Harmony and </w:t>
      </w:r>
      <w:r w:rsidR="00987F18">
        <w:rPr>
          <w:b/>
          <w:bCs/>
        </w:rPr>
        <w:t xml:space="preserve">Political </w:t>
      </w:r>
      <w:r w:rsidRPr="002D2D66">
        <w:rPr>
          <w:b/>
          <w:bCs/>
        </w:rPr>
        <w:t>Gridlock</w:t>
      </w:r>
      <w:r w:rsidRPr="002D2D66">
        <w:rPr>
          <w:b/>
          <w:bCs/>
        </w:rPr>
        <w:br/>
        <w:t>1965-2008.</w:t>
      </w:r>
    </w:p>
    <w:p w:rsidR="002D2D66" w:rsidRDefault="002D2D66" w:rsidP="002D2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p>
    <w:p w:rsidR="004E56B0" w:rsidRDefault="004E56B0" w:rsidP="002D2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sectPr w:rsidR="004E56B0" w:rsidSect="002D2D66">
          <w:endnotePr>
            <w:numFmt w:val="decimal"/>
          </w:endnotePr>
          <w:pgSz w:w="12240" w:h="15840" w:code="1"/>
          <w:pgMar w:top="720" w:right="720" w:bottom="720" w:left="720" w:header="720" w:footer="720" w:gutter="0"/>
          <w:cols w:space="720"/>
          <w:noEndnote/>
          <w:docGrid w:linePitch="326"/>
        </w:sectPr>
      </w:pPr>
    </w:p>
    <w:p w:rsidR="004E56B0" w:rsidRDefault="004E56B0" w:rsidP="004E56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noProof/>
        </w:rPr>
        <w:lastRenderedPageBreak/>
        <w:drawing>
          <wp:inline distT="0" distB="0" distL="0" distR="0">
            <wp:extent cx="5429250" cy="3567113"/>
            <wp:effectExtent l="0" t="0" r="1905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56B0" w:rsidRPr="004E56B0" w:rsidRDefault="004E56B0" w:rsidP="004E56B0">
      <w:pPr>
        <w:jc w:val="center"/>
        <w:rPr>
          <w:b/>
          <w:bCs/>
        </w:rPr>
      </w:pPr>
      <w:r w:rsidRPr="004E56B0">
        <w:rPr>
          <w:b/>
          <w:bCs/>
        </w:rPr>
        <w:t>Figure 3: Equity Returns during the Third Year of the Presidential Cycle</w:t>
      </w:r>
      <w:r w:rsidR="00964D42">
        <w:rPr>
          <w:b/>
          <w:bCs/>
        </w:rPr>
        <w:t xml:space="preserve"> 1965-2008</w:t>
      </w:r>
      <w:r w:rsidRPr="004E56B0">
        <w:rPr>
          <w:b/>
          <w:bCs/>
        </w:rPr>
        <w:t>.</w:t>
      </w:r>
    </w:p>
    <w:p w:rsidR="004E56B0" w:rsidRDefault="004E56B0" w:rsidP="002D2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p>
    <w:p w:rsidR="00964D42" w:rsidRDefault="00964D42" w:rsidP="002D2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p>
    <w:p w:rsidR="00964D42" w:rsidRDefault="00964D42" w:rsidP="002D2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sectPr w:rsidR="00964D42" w:rsidSect="002D2D66">
          <w:endnotePr>
            <w:numFmt w:val="decimal"/>
          </w:endnotePr>
          <w:pgSz w:w="12240" w:h="15840" w:code="1"/>
          <w:pgMar w:top="720" w:right="720" w:bottom="720" w:left="720" w:header="720" w:footer="720" w:gutter="0"/>
          <w:cols w:space="720"/>
          <w:noEndnote/>
          <w:docGrid w:linePitch="326"/>
        </w:sectPr>
      </w:pPr>
    </w:p>
    <w:p w:rsidR="00964D42" w:rsidRDefault="00964D42" w:rsidP="00964D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noProof/>
        </w:rPr>
        <w:lastRenderedPageBreak/>
        <w:drawing>
          <wp:inline distT="0" distB="0" distL="0" distR="0">
            <wp:extent cx="5943600" cy="4022090"/>
            <wp:effectExtent l="0" t="0" r="19050"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64D42" w:rsidRPr="004E56B0" w:rsidRDefault="00964D42" w:rsidP="00964D42">
      <w:pPr>
        <w:jc w:val="center"/>
        <w:rPr>
          <w:b/>
          <w:bCs/>
        </w:rPr>
      </w:pPr>
      <w:r w:rsidRPr="004E56B0">
        <w:rPr>
          <w:b/>
          <w:bCs/>
        </w:rPr>
        <w:t xml:space="preserve">Figure </w:t>
      </w:r>
      <w:r>
        <w:rPr>
          <w:b/>
          <w:bCs/>
        </w:rPr>
        <w:t>4</w:t>
      </w:r>
      <w:r w:rsidRPr="004E56B0">
        <w:rPr>
          <w:b/>
          <w:bCs/>
        </w:rPr>
        <w:t xml:space="preserve">: Equity Returns during </w:t>
      </w:r>
      <w:r w:rsidR="004F18F7">
        <w:rPr>
          <w:b/>
          <w:bCs/>
        </w:rPr>
        <w:t>Expansive and Restrictive Monetary Policy</w:t>
      </w:r>
      <w:r w:rsidR="00982E08">
        <w:rPr>
          <w:b/>
          <w:bCs/>
        </w:rPr>
        <w:t xml:space="preserve"> 1965- 2008</w:t>
      </w:r>
      <w:r w:rsidRPr="004E56B0">
        <w:rPr>
          <w:b/>
          <w:bCs/>
        </w:rPr>
        <w:t>.</w:t>
      </w:r>
    </w:p>
    <w:p w:rsidR="00964D42" w:rsidRDefault="00964D42" w:rsidP="00964D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bCs/>
        </w:rPr>
      </w:pPr>
    </w:p>
    <w:p w:rsidR="00964D42" w:rsidRDefault="00964D42" w:rsidP="00964D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rsidR="00964D42" w:rsidRDefault="00964D42" w:rsidP="00964D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p>
    <w:p w:rsidR="00964D42" w:rsidRDefault="00964D42" w:rsidP="00964D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sectPr w:rsidR="00964D42" w:rsidSect="002D2D66">
          <w:endnotePr>
            <w:numFmt w:val="decimal"/>
          </w:endnotePr>
          <w:pgSz w:w="12240" w:h="15840" w:code="1"/>
          <w:pgMar w:top="720" w:right="720" w:bottom="720" w:left="720" w:header="720" w:footer="720" w:gutter="0"/>
          <w:cols w:space="720"/>
          <w:noEndnote/>
          <w:docGrid w:linePitch="326"/>
        </w:sectPr>
      </w:pPr>
    </w:p>
    <w:p w:rsidR="002D2D66" w:rsidRPr="002D2D66" w:rsidRDefault="00C54209" w:rsidP="0062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b/>
          <w:bCs/>
        </w:rPr>
      </w:pPr>
      <w:r>
        <w:rPr>
          <w:b/>
          <w:bCs/>
        </w:rPr>
        <w:lastRenderedPageBreak/>
        <w:t>Exhibit</w:t>
      </w:r>
      <w:r w:rsidR="002D2D66" w:rsidRPr="002D2D66">
        <w:rPr>
          <w:b/>
          <w:bCs/>
        </w:rPr>
        <w:t xml:space="preserve"> 1 </w:t>
      </w:r>
      <w:r w:rsidR="003F0CC0">
        <w:rPr>
          <w:b/>
          <w:bCs/>
        </w:rPr>
        <w:t>Nominal</w:t>
      </w:r>
      <w:r w:rsidR="002D2D66" w:rsidRPr="002D2D66">
        <w:rPr>
          <w:b/>
          <w:bCs/>
        </w:rPr>
        <w:t xml:space="preserve"> Annualized Return</w:t>
      </w:r>
      <w:r w:rsidR="003F0CC0">
        <w:rPr>
          <w:b/>
          <w:bCs/>
        </w:rPr>
        <w:t>s</w:t>
      </w:r>
      <w:r w:rsidR="002D2D66" w:rsidRPr="002D2D66">
        <w:rPr>
          <w:b/>
          <w:bCs/>
        </w:rPr>
        <w:t xml:space="preserve"> of Ibbotson and Associate’s </w:t>
      </w:r>
      <w:r w:rsidR="009E7B72" w:rsidRPr="002D2D66">
        <w:rPr>
          <w:b/>
          <w:bCs/>
        </w:rPr>
        <w:t>SBBI Indexes</w:t>
      </w:r>
    </w:p>
    <w:p w:rsidR="002D2D66" w:rsidRPr="002D2D66" w:rsidRDefault="002D2D66" w:rsidP="00625E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Cs/>
        </w:rPr>
      </w:pPr>
      <w:r w:rsidRPr="002D2D66">
        <w:rPr>
          <w:bCs/>
        </w:rPr>
        <w:t>Nominal (inflation unadjusted) annualized means of monthly return observations for Ibbotson Stocks, Bonds, Bills, and Inflation Market Report.  The data spans from January 1965 through December 2008.  The results are given for Democratic</w:t>
      </w:r>
      <w:r w:rsidR="004D09C8">
        <w:rPr>
          <w:bCs/>
        </w:rPr>
        <w:t xml:space="preserve"> and Republican </w:t>
      </w:r>
      <w:r w:rsidRPr="002D2D66">
        <w:rPr>
          <w:bCs/>
        </w:rPr>
        <w:t xml:space="preserve">Presidencies, for </w:t>
      </w:r>
      <w:r w:rsidR="004D09C8">
        <w:rPr>
          <w:bCs/>
        </w:rPr>
        <w:t xml:space="preserve">periods of political </w:t>
      </w:r>
      <w:r w:rsidRPr="002D2D66">
        <w:rPr>
          <w:bCs/>
        </w:rPr>
        <w:t>harmony</w:t>
      </w:r>
      <w:r w:rsidR="004D09C8">
        <w:rPr>
          <w:bCs/>
        </w:rPr>
        <w:t xml:space="preserve"> and </w:t>
      </w:r>
      <w:r w:rsidR="003202EF">
        <w:rPr>
          <w:bCs/>
        </w:rPr>
        <w:t>gridlock,</w:t>
      </w:r>
      <w:r w:rsidR="003202EF" w:rsidRPr="002D2D66">
        <w:rPr>
          <w:bCs/>
        </w:rPr>
        <w:t xml:space="preserve"> </w:t>
      </w:r>
      <w:r w:rsidR="003202EF">
        <w:rPr>
          <w:bCs/>
        </w:rPr>
        <w:t>for</w:t>
      </w:r>
      <w:r w:rsidR="004D09C8">
        <w:rPr>
          <w:bCs/>
        </w:rPr>
        <w:t xml:space="preserve"> the </w:t>
      </w:r>
      <w:r w:rsidR="00527E82">
        <w:rPr>
          <w:bCs/>
        </w:rPr>
        <w:t>3</w:t>
      </w:r>
      <w:r w:rsidR="00527E82" w:rsidRPr="00527E82">
        <w:rPr>
          <w:bCs/>
          <w:vertAlign w:val="superscript"/>
        </w:rPr>
        <w:t>rd</w:t>
      </w:r>
      <w:r w:rsidR="00527E82">
        <w:rPr>
          <w:bCs/>
        </w:rPr>
        <w:t xml:space="preserve"> </w:t>
      </w:r>
      <w:r w:rsidR="004D09C8">
        <w:rPr>
          <w:bCs/>
        </w:rPr>
        <w:t xml:space="preserve">year of the </w:t>
      </w:r>
      <w:r w:rsidR="00527E82">
        <w:rPr>
          <w:bCs/>
        </w:rPr>
        <w:t xml:space="preserve">Presidential term </w:t>
      </w:r>
      <w:r w:rsidR="004D09C8">
        <w:rPr>
          <w:bCs/>
        </w:rPr>
        <w:t>and the other term year</w:t>
      </w:r>
      <w:r w:rsidR="00DC6445">
        <w:rPr>
          <w:bCs/>
        </w:rPr>
        <w:t>s</w:t>
      </w:r>
      <w:r w:rsidR="004D09C8">
        <w:rPr>
          <w:bCs/>
        </w:rPr>
        <w:t xml:space="preserve"> and for expansive, restrictive and indeterminate monetary periods</w:t>
      </w:r>
      <w:r w:rsidR="005C5DD1">
        <w:rPr>
          <w:bCs/>
        </w:rPr>
        <w:t xml:space="preserve">. </w:t>
      </w:r>
      <w:r w:rsidRPr="002D2D66">
        <w:rPr>
          <w:bCs/>
        </w:rPr>
        <w:t xml:space="preserve"> </w:t>
      </w:r>
      <w:r w:rsidR="00C1324E" w:rsidRPr="00A66E9A">
        <w:rPr>
          <w:bCs/>
          <w:i/>
        </w:rPr>
        <w:t>p</w:t>
      </w:r>
      <w:r w:rsidRPr="002D2D66">
        <w:rPr>
          <w:bCs/>
        </w:rPr>
        <w:t>-</w:t>
      </w:r>
      <w:r w:rsidR="005C5DD1">
        <w:rPr>
          <w:bCs/>
        </w:rPr>
        <w:t>v</w:t>
      </w:r>
      <w:r w:rsidRPr="002D2D66">
        <w:rPr>
          <w:bCs/>
        </w:rPr>
        <w:t xml:space="preserve">alues </w:t>
      </w:r>
      <w:r w:rsidR="004D09C8">
        <w:rPr>
          <w:bCs/>
        </w:rPr>
        <w:t xml:space="preserve">are </w:t>
      </w:r>
      <w:r w:rsidRPr="002D2D66">
        <w:rPr>
          <w:bCs/>
        </w:rPr>
        <w:t xml:space="preserve">for the difference-in-means </w:t>
      </w:r>
      <w:r w:rsidR="004D09C8">
        <w:rPr>
          <w:bCs/>
        </w:rPr>
        <w:t>tests.</w:t>
      </w:r>
    </w:p>
    <w:tbl>
      <w:tblPr>
        <w:tblW w:w="9713" w:type="dxa"/>
        <w:tblInd w:w="108" w:type="dxa"/>
        <w:tblLook w:val="04A0" w:firstRow="1" w:lastRow="0" w:firstColumn="1" w:lastColumn="0" w:noHBand="0" w:noVBand="1"/>
      </w:tblPr>
      <w:tblGrid>
        <w:gridCol w:w="4467"/>
        <w:gridCol w:w="956"/>
        <w:gridCol w:w="1057"/>
        <w:gridCol w:w="956"/>
        <w:gridCol w:w="1035"/>
        <w:gridCol w:w="1242"/>
      </w:tblGrid>
      <w:tr w:rsidR="00C87FA7" w:rsidTr="005B3192">
        <w:trPr>
          <w:trHeight w:val="330"/>
        </w:trPr>
        <w:tc>
          <w:tcPr>
            <w:tcW w:w="9713" w:type="dxa"/>
            <w:gridSpan w:val="6"/>
            <w:tcBorders>
              <w:top w:val="nil"/>
              <w:left w:val="nil"/>
              <w:bottom w:val="single" w:sz="8" w:space="0" w:color="auto"/>
              <w:right w:val="nil"/>
            </w:tcBorders>
            <w:shd w:val="clear" w:color="auto" w:fill="auto"/>
            <w:noWrap/>
            <w:vAlign w:val="center"/>
            <w:hideMark/>
          </w:tcPr>
          <w:p w:rsidR="00C87FA7" w:rsidRDefault="00C87FA7">
            <w:pPr>
              <w:jc w:val="center"/>
              <w:rPr>
                <w:b/>
                <w:bCs/>
                <w:color w:val="000000"/>
              </w:rPr>
            </w:pPr>
            <w:r>
              <w:rPr>
                <w:b/>
                <w:bCs/>
                <w:color w:val="000000"/>
              </w:rPr>
              <w:t>SBBI  Nominal Returns 1965 through 2008</w:t>
            </w:r>
          </w:p>
        </w:tc>
      </w:tr>
      <w:tr w:rsidR="00C87FA7" w:rsidTr="005B3192">
        <w:trPr>
          <w:trHeight w:val="330"/>
        </w:trPr>
        <w:tc>
          <w:tcPr>
            <w:tcW w:w="4467" w:type="dxa"/>
            <w:tcBorders>
              <w:top w:val="nil"/>
              <w:left w:val="nil"/>
              <w:bottom w:val="nil"/>
              <w:right w:val="nil"/>
            </w:tcBorders>
            <w:shd w:val="clear" w:color="auto" w:fill="auto"/>
            <w:noWrap/>
            <w:vAlign w:val="center"/>
            <w:hideMark/>
          </w:tcPr>
          <w:p w:rsidR="00C87FA7" w:rsidRDefault="00C87FA7">
            <w:pPr>
              <w:rPr>
                <w:color w:val="000000"/>
              </w:rPr>
            </w:pPr>
            <w:r>
              <w:rPr>
                <w:color w:val="000000"/>
              </w:rPr>
              <w:t> </w:t>
            </w:r>
          </w:p>
        </w:tc>
        <w:tc>
          <w:tcPr>
            <w:tcW w:w="956" w:type="dxa"/>
            <w:tcBorders>
              <w:top w:val="nil"/>
              <w:left w:val="nil"/>
              <w:bottom w:val="single" w:sz="8" w:space="0" w:color="auto"/>
              <w:right w:val="nil"/>
            </w:tcBorders>
            <w:shd w:val="clear" w:color="auto" w:fill="auto"/>
            <w:noWrap/>
            <w:vAlign w:val="center"/>
            <w:hideMark/>
          </w:tcPr>
          <w:p w:rsidR="00C87FA7" w:rsidRDefault="00C87FA7">
            <w:pPr>
              <w:jc w:val="center"/>
              <w:rPr>
                <w:b/>
                <w:bCs/>
                <w:color w:val="000000"/>
              </w:rPr>
            </w:pPr>
            <w:r>
              <w:rPr>
                <w:b/>
                <w:bCs/>
                <w:color w:val="000000"/>
              </w:rPr>
              <w:t>Large</w:t>
            </w:r>
          </w:p>
        </w:tc>
        <w:tc>
          <w:tcPr>
            <w:tcW w:w="1057" w:type="dxa"/>
            <w:tcBorders>
              <w:top w:val="nil"/>
              <w:left w:val="nil"/>
              <w:bottom w:val="single" w:sz="8" w:space="0" w:color="auto"/>
              <w:right w:val="nil"/>
            </w:tcBorders>
            <w:shd w:val="clear" w:color="auto" w:fill="auto"/>
            <w:noWrap/>
            <w:vAlign w:val="center"/>
            <w:hideMark/>
          </w:tcPr>
          <w:p w:rsidR="00C87FA7" w:rsidRDefault="00C87FA7">
            <w:pPr>
              <w:jc w:val="center"/>
              <w:rPr>
                <w:b/>
                <w:bCs/>
                <w:color w:val="000000"/>
              </w:rPr>
            </w:pPr>
            <w:r>
              <w:rPr>
                <w:b/>
                <w:bCs/>
                <w:color w:val="000000"/>
              </w:rPr>
              <w:t>Small</w:t>
            </w:r>
          </w:p>
        </w:tc>
        <w:tc>
          <w:tcPr>
            <w:tcW w:w="956" w:type="dxa"/>
            <w:tcBorders>
              <w:top w:val="nil"/>
              <w:left w:val="nil"/>
              <w:bottom w:val="single" w:sz="8" w:space="0" w:color="auto"/>
              <w:right w:val="nil"/>
            </w:tcBorders>
            <w:shd w:val="clear" w:color="auto" w:fill="auto"/>
            <w:noWrap/>
            <w:vAlign w:val="center"/>
            <w:hideMark/>
          </w:tcPr>
          <w:p w:rsidR="00C87FA7" w:rsidRDefault="00C87FA7">
            <w:pPr>
              <w:jc w:val="center"/>
              <w:rPr>
                <w:b/>
                <w:bCs/>
                <w:color w:val="000000"/>
              </w:rPr>
            </w:pPr>
            <w:r>
              <w:rPr>
                <w:b/>
                <w:bCs/>
                <w:color w:val="000000"/>
              </w:rPr>
              <w:t>Corp</w:t>
            </w:r>
          </w:p>
        </w:tc>
        <w:tc>
          <w:tcPr>
            <w:tcW w:w="1035" w:type="dxa"/>
            <w:tcBorders>
              <w:top w:val="nil"/>
              <w:left w:val="nil"/>
              <w:bottom w:val="single" w:sz="8" w:space="0" w:color="auto"/>
              <w:right w:val="nil"/>
            </w:tcBorders>
            <w:shd w:val="clear" w:color="auto" w:fill="auto"/>
            <w:noWrap/>
            <w:vAlign w:val="center"/>
            <w:hideMark/>
          </w:tcPr>
          <w:p w:rsidR="00C87FA7" w:rsidRDefault="00C87FA7">
            <w:pPr>
              <w:jc w:val="center"/>
              <w:rPr>
                <w:b/>
                <w:bCs/>
                <w:color w:val="000000"/>
              </w:rPr>
            </w:pPr>
            <w:r>
              <w:rPr>
                <w:b/>
                <w:bCs/>
                <w:color w:val="000000"/>
              </w:rPr>
              <w:t>T-bill</w:t>
            </w:r>
          </w:p>
        </w:tc>
        <w:tc>
          <w:tcPr>
            <w:tcW w:w="1242" w:type="dxa"/>
            <w:tcBorders>
              <w:top w:val="nil"/>
              <w:left w:val="nil"/>
              <w:bottom w:val="single" w:sz="8" w:space="0" w:color="auto"/>
              <w:right w:val="nil"/>
            </w:tcBorders>
            <w:shd w:val="clear" w:color="auto" w:fill="auto"/>
            <w:noWrap/>
            <w:vAlign w:val="center"/>
            <w:hideMark/>
          </w:tcPr>
          <w:p w:rsidR="00C87FA7" w:rsidRDefault="00C87FA7" w:rsidP="00C87FA7">
            <w:pPr>
              <w:ind w:right="132"/>
              <w:jc w:val="center"/>
              <w:rPr>
                <w:b/>
                <w:bCs/>
                <w:color w:val="000000"/>
              </w:rPr>
            </w:pPr>
            <w:r>
              <w:rPr>
                <w:b/>
                <w:bCs/>
                <w:color w:val="000000"/>
              </w:rPr>
              <w:t>Inflation</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jc w:val="center"/>
              <w:rPr>
                <w:b/>
                <w:bCs/>
                <w:color w:val="000000"/>
              </w:rPr>
            </w:pPr>
            <w:r>
              <w:rPr>
                <w:b/>
                <w:bCs/>
                <w:color w:val="000000"/>
              </w:rPr>
              <w:t>Panel A</w:t>
            </w:r>
            <w:r w:rsidR="00C74CDF">
              <w:rPr>
                <w:b/>
                <w:bCs/>
                <w:color w:val="000000"/>
              </w:rPr>
              <w:t>.</w:t>
            </w:r>
            <w:r>
              <w:rPr>
                <w:b/>
                <w:bCs/>
                <w:color w:val="000000"/>
              </w:rPr>
              <w:t xml:space="preserve"> </w:t>
            </w:r>
            <w:r w:rsidR="004D09C8">
              <w:rPr>
                <w:b/>
                <w:bCs/>
                <w:color w:val="000000"/>
              </w:rPr>
              <w:t xml:space="preserve">Presidential </w:t>
            </w:r>
            <w:r>
              <w:rPr>
                <w:b/>
                <w:bCs/>
                <w:color w:val="000000"/>
              </w:rPr>
              <w:t>Party Influence</w:t>
            </w:r>
          </w:p>
        </w:tc>
        <w:tc>
          <w:tcPr>
            <w:tcW w:w="956" w:type="dxa"/>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057" w:type="dxa"/>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956" w:type="dxa"/>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035" w:type="dxa"/>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242" w:type="dxa"/>
            <w:tcBorders>
              <w:top w:val="nil"/>
              <w:left w:val="nil"/>
              <w:bottom w:val="nil"/>
              <w:right w:val="nil"/>
            </w:tcBorders>
            <w:shd w:val="clear" w:color="auto" w:fill="auto"/>
            <w:noWrap/>
            <w:vAlign w:val="bottom"/>
            <w:hideMark/>
          </w:tcPr>
          <w:p w:rsidR="00C87FA7" w:rsidRDefault="00C87FA7">
            <w:pPr>
              <w:rPr>
                <w:color w:val="000000"/>
                <w:sz w:val="20"/>
                <w:szCs w:val="20"/>
              </w:rPr>
            </w:pP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color w:val="000000"/>
              </w:rPr>
            </w:pPr>
            <w:r>
              <w:rPr>
                <w:color w:val="000000"/>
              </w:rPr>
              <w:t>Democrat (n</w:t>
            </w:r>
            <w:r w:rsidR="005C5DD1">
              <w:rPr>
                <w:color w:val="000000"/>
              </w:rPr>
              <w:t xml:space="preserve"> </w:t>
            </w:r>
            <w:r>
              <w:rPr>
                <w:color w:val="000000"/>
              </w:rPr>
              <w:t>=</w:t>
            </w:r>
            <w:r w:rsidR="005C5DD1">
              <w:rPr>
                <w:color w:val="000000"/>
              </w:rPr>
              <w:t xml:space="preserve"> </w:t>
            </w:r>
            <w:r>
              <w:rPr>
                <w:color w:val="000000"/>
              </w:rPr>
              <w:t>192 months)</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14.61%</w:t>
            </w:r>
          </w:p>
        </w:tc>
        <w:tc>
          <w:tcPr>
            <w:tcW w:w="1057"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26.18%</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3.52%</w:t>
            </w:r>
          </w:p>
        </w:tc>
        <w:tc>
          <w:tcPr>
            <w:tcW w:w="1035"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5.62%</w:t>
            </w:r>
          </w:p>
        </w:tc>
        <w:tc>
          <w:tcPr>
            <w:tcW w:w="1242"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4.65%</w:t>
            </w:r>
          </w:p>
        </w:tc>
      </w:tr>
      <w:tr w:rsidR="00C87FA7" w:rsidTr="005B3192">
        <w:trPr>
          <w:trHeight w:val="330"/>
        </w:trPr>
        <w:tc>
          <w:tcPr>
            <w:tcW w:w="4467" w:type="dxa"/>
            <w:tcBorders>
              <w:top w:val="nil"/>
              <w:left w:val="nil"/>
              <w:bottom w:val="single" w:sz="8" w:space="0" w:color="auto"/>
              <w:right w:val="nil"/>
            </w:tcBorders>
            <w:shd w:val="clear" w:color="auto" w:fill="auto"/>
            <w:noWrap/>
            <w:vAlign w:val="center"/>
            <w:hideMark/>
          </w:tcPr>
          <w:p w:rsidR="00C87FA7" w:rsidRDefault="00C87FA7">
            <w:pPr>
              <w:rPr>
                <w:color w:val="000000"/>
              </w:rPr>
            </w:pPr>
            <w:r>
              <w:rPr>
                <w:color w:val="000000"/>
              </w:rPr>
              <w:t>Republican (n</w:t>
            </w:r>
            <w:r w:rsidR="005C5DD1">
              <w:rPr>
                <w:color w:val="000000"/>
              </w:rPr>
              <w:t xml:space="preserve"> </w:t>
            </w:r>
            <w:r>
              <w:rPr>
                <w:color w:val="000000"/>
              </w:rPr>
              <w:t>=</w:t>
            </w:r>
            <w:r w:rsidR="005C5DD1">
              <w:rPr>
                <w:color w:val="000000"/>
              </w:rPr>
              <w:t xml:space="preserve"> </w:t>
            </w:r>
            <w:r>
              <w:rPr>
                <w:color w:val="000000"/>
              </w:rPr>
              <w:t>336 months)</w:t>
            </w:r>
          </w:p>
        </w:tc>
        <w:tc>
          <w:tcPr>
            <w:tcW w:w="956"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7.73%</w:t>
            </w:r>
          </w:p>
        </w:tc>
        <w:tc>
          <w:tcPr>
            <w:tcW w:w="1057"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9.45%</w:t>
            </w:r>
          </w:p>
        </w:tc>
        <w:tc>
          <w:tcPr>
            <w:tcW w:w="956"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10.75%</w:t>
            </w:r>
          </w:p>
        </w:tc>
        <w:tc>
          <w:tcPr>
            <w:tcW w:w="1035"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5.81%</w:t>
            </w:r>
          </w:p>
        </w:tc>
        <w:tc>
          <w:tcPr>
            <w:tcW w:w="1242"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4.33%</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color w:val="000000"/>
              </w:rPr>
            </w:pPr>
            <w:r>
              <w:rPr>
                <w:color w:val="000000"/>
              </w:rPr>
              <w:t>Dem</w:t>
            </w:r>
            <w:r w:rsidR="00A95677">
              <w:rPr>
                <w:color w:val="000000"/>
              </w:rPr>
              <w:t>ocrat</w:t>
            </w:r>
            <w:r>
              <w:rPr>
                <w:color w:val="000000"/>
              </w:rPr>
              <w:t>-Rep</w:t>
            </w:r>
            <w:r w:rsidR="00A95677">
              <w:rPr>
                <w:color w:val="000000"/>
              </w:rPr>
              <w:t>ublican</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6.87%</w:t>
            </w:r>
          </w:p>
        </w:tc>
        <w:tc>
          <w:tcPr>
            <w:tcW w:w="1057"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16.73%</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-7.23%</w:t>
            </w:r>
          </w:p>
        </w:tc>
        <w:tc>
          <w:tcPr>
            <w:tcW w:w="1035"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0.19%</w:t>
            </w:r>
          </w:p>
        </w:tc>
        <w:tc>
          <w:tcPr>
            <w:tcW w:w="1242"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0.32%</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1324E" w:rsidP="00A95677">
            <w:pPr>
              <w:rPr>
                <w:color w:val="000000"/>
              </w:rPr>
            </w:pPr>
            <w:r w:rsidRPr="00A66E9A">
              <w:rPr>
                <w:i/>
                <w:color w:val="000000"/>
              </w:rPr>
              <w:t>t</w:t>
            </w:r>
            <w:r w:rsidR="00C87FA7">
              <w:rPr>
                <w:color w:val="000000"/>
              </w:rPr>
              <w:t>-stat Prob</w:t>
            </w:r>
            <w:r w:rsidR="00A95677">
              <w:rPr>
                <w:color w:val="000000"/>
              </w:rPr>
              <w:t>ability</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0.08</w:t>
            </w:r>
          </w:p>
        </w:tc>
        <w:tc>
          <w:tcPr>
            <w:tcW w:w="1057"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0.02</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0.01</w:t>
            </w:r>
          </w:p>
        </w:tc>
        <w:tc>
          <w:tcPr>
            <w:tcW w:w="1035"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0.22</w:t>
            </w:r>
          </w:p>
        </w:tc>
        <w:tc>
          <w:tcPr>
            <w:tcW w:w="1242"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0.21</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b/>
                <w:bCs/>
                <w:color w:val="000000"/>
              </w:rPr>
            </w:pPr>
          </w:p>
        </w:tc>
        <w:tc>
          <w:tcPr>
            <w:tcW w:w="956"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057"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956"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035"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242"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jc w:val="center"/>
              <w:rPr>
                <w:b/>
                <w:bCs/>
                <w:color w:val="000000"/>
              </w:rPr>
            </w:pPr>
            <w:r>
              <w:rPr>
                <w:b/>
                <w:bCs/>
                <w:color w:val="000000"/>
              </w:rPr>
              <w:t>Panel B</w:t>
            </w:r>
            <w:r w:rsidR="00C74CDF">
              <w:rPr>
                <w:b/>
                <w:bCs/>
                <w:color w:val="000000"/>
              </w:rPr>
              <w:t>.</w:t>
            </w:r>
            <w:r>
              <w:rPr>
                <w:b/>
                <w:bCs/>
                <w:color w:val="000000"/>
              </w:rPr>
              <w:t xml:space="preserve"> Political Gridlock Influence</w:t>
            </w:r>
          </w:p>
        </w:tc>
        <w:tc>
          <w:tcPr>
            <w:tcW w:w="956" w:type="dxa"/>
            <w:vMerge/>
            <w:tcBorders>
              <w:top w:val="nil"/>
              <w:left w:val="nil"/>
              <w:bottom w:val="nil"/>
              <w:right w:val="nil"/>
            </w:tcBorders>
            <w:vAlign w:val="center"/>
            <w:hideMark/>
          </w:tcPr>
          <w:p w:rsidR="00C87FA7" w:rsidRDefault="00C87FA7">
            <w:pPr>
              <w:rPr>
                <w:color w:val="000000"/>
                <w:sz w:val="20"/>
                <w:szCs w:val="20"/>
              </w:rPr>
            </w:pPr>
          </w:p>
        </w:tc>
        <w:tc>
          <w:tcPr>
            <w:tcW w:w="1057" w:type="dxa"/>
            <w:vMerge/>
            <w:tcBorders>
              <w:top w:val="nil"/>
              <w:left w:val="nil"/>
              <w:bottom w:val="nil"/>
              <w:right w:val="nil"/>
            </w:tcBorders>
            <w:vAlign w:val="center"/>
            <w:hideMark/>
          </w:tcPr>
          <w:p w:rsidR="00C87FA7" w:rsidRDefault="00C87FA7">
            <w:pPr>
              <w:rPr>
                <w:color w:val="000000"/>
                <w:sz w:val="20"/>
                <w:szCs w:val="20"/>
              </w:rPr>
            </w:pPr>
          </w:p>
        </w:tc>
        <w:tc>
          <w:tcPr>
            <w:tcW w:w="956" w:type="dxa"/>
            <w:vMerge/>
            <w:tcBorders>
              <w:top w:val="nil"/>
              <w:left w:val="nil"/>
              <w:bottom w:val="nil"/>
              <w:right w:val="nil"/>
            </w:tcBorders>
            <w:vAlign w:val="center"/>
            <w:hideMark/>
          </w:tcPr>
          <w:p w:rsidR="00C87FA7" w:rsidRDefault="00C87FA7">
            <w:pPr>
              <w:rPr>
                <w:color w:val="000000"/>
                <w:sz w:val="20"/>
                <w:szCs w:val="20"/>
              </w:rPr>
            </w:pPr>
          </w:p>
        </w:tc>
        <w:tc>
          <w:tcPr>
            <w:tcW w:w="1035" w:type="dxa"/>
            <w:vMerge/>
            <w:tcBorders>
              <w:top w:val="nil"/>
              <w:left w:val="nil"/>
              <w:bottom w:val="nil"/>
              <w:right w:val="nil"/>
            </w:tcBorders>
            <w:vAlign w:val="center"/>
            <w:hideMark/>
          </w:tcPr>
          <w:p w:rsidR="00C87FA7" w:rsidRDefault="00C87FA7">
            <w:pPr>
              <w:rPr>
                <w:color w:val="000000"/>
                <w:sz w:val="20"/>
                <w:szCs w:val="20"/>
              </w:rPr>
            </w:pPr>
          </w:p>
        </w:tc>
        <w:tc>
          <w:tcPr>
            <w:tcW w:w="1242" w:type="dxa"/>
            <w:vMerge/>
            <w:tcBorders>
              <w:top w:val="nil"/>
              <w:left w:val="nil"/>
              <w:bottom w:val="nil"/>
              <w:right w:val="nil"/>
            </w:tcBorders>
            <w:vAlign w:val="center"/>
            <w:hideMark/>
          </w:tcPr>
          <w:p w:rsidR="00C87FA7" w:rsidRDefault="00C87FA7">
            <w:pPr>
              <w:rPr>
                <w:color w:val="000000"/>
                <w:sz w:val="20"/>
                <w:szCs w:val="20"/>
              </w:rPr>
            </w:pP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color w:val="000000"/>
              </w:rPr>
            </w:pPr>
            <w:r>
              <w:rPr>
                <w:color w:val="000000"/>
              </w:rPr>
              <w:t>Gridlock (n</w:t>
            </w:r>
            <w:r w:rsidR="005C5DD1">
              <w:rPr>
                <w:color w:val="000000"/>
              </w:rPr>
              <w:t xml:space="preserve"> </w:t>
            </w:r>
            <w:r>
              <w:rPr>
                <w:color w:val="000000"/>
              </w:rPr>
              <w:t>=</w:t>
            </w:r>
            <w:r w:rsidR="005C5DD1">
              <w:rPr>
                <w:color w:val="000000"/>
              </w:rPr>
              <w:t xml:space="preserve"> </w:t>
            </w:r>
            <w:r>
              <w:rPr>
                <w:color w:val="000000"/>
              </w:rPr>
              <w:t>354 months)</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10.12%</w:t>
            </w:r>
          </w:p>
        </w:tc>
        <w:tc>
          <w:tcPr>
            <w:tcW w:w="1057"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8.67%</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10.97%</w:t>
            </w:r>
          </w:p>
        </w:tc>
        <w:tc>
          <w:tcPr>
            <w:tcW w:w="1035"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6.18%</w:t>
            </w:r>
          </w:p>
        </w:tc>
        <w:tc>
          <w:tcPr>
            <w:tcW w:w="1242"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4.17%</w:t>
            </w:r>
          </w:p>
        </w:tc>
      </w:tr>
      <w:tr w:rsidR="00C87FA7" w:rsidTr="005B3192">
        <w:trPr>
          <w:trHeight w:val="330"/>
        </w:trPr>
        <w:tc>
          <w:tcPr>
            <w:tcW w:w="4467" w:type="dxa"/>
            <w:tcBorders>
              <w:top w:val="nil"/>
              <w:left w:val="nil"/>
              <w:bottom w:val="single" w:sz="8" w:space="0" w:color="auto"/>
              <w:right w:val="nil"/>
            </w:tcBorders>
            <w:shd w:val="clear" w:color="auto" w:fill="auto"/>
            <w:noWrap/>
            <w:vAlign w:val="center"/>
            <w:hideMark/>
          </w:tcPr>
          <w:p w:rsidR="00C87FA7" w:rsidRDefault="00C87FA7">
            <w:pPr>
              <w:rPr>
                <w:color w:val="000000"/>
              </w:rPr>
            </w:pPr>
            <w:r>
              <w:rPr>
                <w:color w:val="000000"/>
              </w:rPr>
              <w:t>Harmony (n</w:t>
            </w:r>
            <w:r w:rsidR="005C5DD1">
              <w:rPr>
                <w:color w:val="000000"/>
              </w:rPr>
              <w:t xml:space="preserve"> </w:t>
            </w:r>
            <w:r>
              <w:rPr>
                <w:color w:val="000000"/>
              </w:rPr>
              <w:t>=</w:t>
            </w:r>
            <w:r w:rsidR="005C5DD1">
              <w:rPr>
                <w:color w:val="000000"/>
              </w:rPr>
              <w:t xml:space="preserve"> </w:t>
            </w:r>
            <w:r>
              <w:rPr>
                <w:color w:val="000000"/>
              </w:rPr>
              <w:t>174 months)</w:t>
            </w:r>
          </w:p>
        </w:tc>
        <w:tc>
          <w:tcPr>
            <w:tcW w:w="956"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10.33%</w:t>
            </w:r>
          </w:p>
        </w:tc>
        <w:tc>
          <w:tcPr>
            <w:tcW w:w="1057"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29.89%</w:t>
            </w:r>
          </w:p>
        </w:tc>
        <w:tc>
          <w:tcPr>
            <w:tcW w:w="956"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2.38%</w:t>
            </w:r>
          </w:p>
        </w:tc>
        <w:tc>
          <w:tcPr>
            <w:tcW w:w="1035"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4.87%</w:t>
            </w:r>
          </w:p>
        </w:tc>
        <w:tc>
          <w:tcPr>
            <w:tcW w:w="1242"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5.01%</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color w:val="000000"/>
              </w:rPr>
            </w:pPr>
            <w:r>
              <w:rPr>
                <w:color w:val="000000"/>
              </w:rPr>
              <w:t>Grid</w:t>
            </w:r>
            <w:r w:rsidR="00A95677">
              <w:rPr>
                <w:color w:val="000000"/>
              </w:rPr>
              <w:t>lock</w:t>
            </w:r>
            <w:r>
              <w:rPr>
                <w:color w:val="000000"/>
              </w:rPr>
              <w:t>-Harmony</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-0.21%</w:t>
            </w:r>
          </w:p>
        </w:tc>
        <w:tc>
          <w:tcPr>
            <w:tcW w:w="1057"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-21.22%</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8.59%</w:t>
            </w:r>
          </w:p>
        </w:tc>
        <w:tc>
          <w:tcPr>
            <w:tcW w:w="1035"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1.31%</w:t>
            </w:r>
          </w:p>
        </w:tc>
        <w:tc>
          <w:tcPr>
            <w:tcW w:w="1242"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-0.84%</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1324E" w:rsidP="00A95677">
            <w:pPr>
              <w:rPr>
                <w:color w:val="000000"/>
              </w:rPr>
            </w:pPr>
            <w:r w:rsidRPr="00A66E9A">
              <w:rPr>
                <w:i/>
                <w:color w:val="000000"/>
              </w:rPr>
              <w:t>t</w:t>
            </w:r>
            <w:r w:rsidR="00C87FA7">
              <w:rPr>
                <w:color w:val="000000"/>
              </w:rPr>
              <w:t>-stat Prob</w:t>
            </w:r>
            <w:r w:rsidR="00A95677">
              <w:rPr>
                <w:color w:val="000000"/>
              </w:rPr>
              <w:t>ability</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0.48</w:t>
            </w:r>
          </w:p>
        </w:tc>
        <w:tc>
          <w:tcPr>
            <w:tcW w:w="1057"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0.00</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0.00</w:t>
            </w:r>
          </w:p>
        </w:tc>
        <w:tc>
          <w:tcPr>
            <w:tcW w:w="1035"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0.00</w:t>
            </w:r>
          </w:p>
        </w:tc>
        <w:tc>
          <w:tcPr>
            <w:tcW w:w="1242"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0.03</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b/>
                <w:bCs/>
                <w:color w:val="000000"/>
              </w:rPr>
            </w:pPr>
          </w:p>
        </w:tc>
        <w:tc>
          <w:tcPr>
            <w:tcW w:w="956"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057"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956"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035"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242"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jc w:val="center"/>
              <w:rPr>
                <w:b/>
                <w:bCs/>
                <w:color w:val="000000"/>
              </w:rPr>
            </w:pPr>
            <w:r>
              <w:rPr>
                <w:b/>
                <w:bCs/>
                <w:color w:val="000000"/>
              </w:rPr>
              <w:t>Panel C</w:t>
            </w:r>
            <w:r w:rsidR="00C74CDF">
              <w:rPr>
                <w:b/>
                <w:bCs/>
                <w:color w:val="000000"/>
              </w:rPr>
              <w:t>.</w:t>
            </w:r>
            <w:r>
              <w:rPr>
                <w:b/>
                <w:bCs/>
                <w:color w:val="000000"/>
              </w:rPr>
              <w:t xml:space="preserve"> Presidential Term Year Influence</w:t>
            </w:r>
          </w:p>
        </w:tc>
        <w:tc>
          <w:tcPr>
            <w:tcW w:w="956" w:type="dxa"/>
            <w:vMerge/>
            <w:tcBorders>
              <w:top w:val="nil"/>
              <w:left w:val="nil"/>
              <w:bottom w:val="nil"/>
              <w:right w:val="nil"/>
            </w:tcBorders>
            <w:vAlign w:val="center"/>
            <w:hideMark/>
          </w:tcPr>
          <w:p w:rsidR="00C87FA7" w:rsidRDefault="00C87FA7">
            <w:pPr>
              <w:rPr>
                <w:color w:val="000000"/>
                <w:sz w:val="20"/>
                <w:szCs w:val="20"/>
              </w:rPr>
            </w:pPr>
          </w:p>
        </w:tc>
        <w:tc>
          <w:tcPr>
            <w:tcW w:w="1057" w:type="dxa"/>
            <w:vMerge/>
            <w:tcBorders>
              <w:top w:val="nil"/>
              <w:left w:val="nil"/>
              <w:bottom w:val="nil"/>
              <w:right w:val="nil"/>
            </w:tcBorders>
            <w:vAlign w:val="center"/>
            <w:hideMark/>
          </w:tcPr>
          <w:p w:rsidR="00C87FA7" w:rsidRDefault="00C87FA7">
            <w:pPr>
              <w:rPr>
                <w:color w:val="000000"/>
                <w:sz w:val="20"/>
                <w:szCs w:val="20"/>
              </w:rPr>
            </w:pPr>
          </w:p>
        </w:tc>
        <w:tc>
          <w:tcPr>
            <w:tcW w:w="956" w:type="dxa"/>
            <w:vMerge/>
            <w:tcBorders>
              <w:top w:val="nil"/>
              <w:left w:val="nil"/>
              <w:bottom w:val="nil"/>
              <w:right w:val="nil"/>
            </w:tcBorders>
            <w:vAlign w:val="center"/>
            <w:hideMark/>
          </w:tcPr>
          <w:p w:rsidR="00C87FA7" w:rsidRDefault="00C87FA7">
            <w:pPr>
              <w:rPr>
                <w:color w:val="000000"/>
                <w:sz w:val="20"/>
                <w:szCs w:val="20"/>
              </w:rPr>
            </w:pPr>
          </w:p>
        </w:tc>
        <w:tc>
          <w:tcPr>
            <w:tcW w:w="1035" w:type="dxa"/>
            <w:vMerge/>
            <w:tcBorders>
              <w:top w:val="nil"/>
              <w:left w:val="nil"/>
              <w:bottom w:val="nil"/>
              <w:right w:val="nil"/>
            </w:tcBorders>
            <w:vAlign w:val="center"/>
            <w:hideMark/>
          </w:tcPr>
          <w:p w:rsidR="00C87FA7" w:rsidRDefault="00C87FA7">
            <w:pPr>
              <w:rPr>
                <w:color w:val="000000"/>
                <w:sz w:val="20"/>
                <w:szCs w:val="20"/>
              </w:rPr>
            </w:pPr>
          </w:p>
        </w:tc>
        <w:tc>
          <w:tcPr>
            <w:tcW w:w="1242" w:type="dxa"/>
            <w:vMerge/>
            <w:tcBorders>
              <w:top w:val="nil"/>
              <w:left w:val="nil"/>
              <w:bottom w:val="nil"/>
              <w:right w:val="nil"/>
            </w:tcBorders>
            <w:vAlign w:val="center"/>
            <w:hideMark/>
          </w:tcPr>
          <w:p w:rsidR="00C87FA7" w:rsidRDefault="00C87FA7">
            <w:pPr>
              <w:rPr>
                <w:color w:val="000000"/>
                <w:sz w:val="20"/>
                <w:szCs w:val="20"/>
              </w:rPr>
            </w:pP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color w:val="000000"/>
              </w:rPr>
            </w:pPr>
            <w:r>
              <w:rPr>
                <w:color w:val="000000"/>
              </w:rPr>
              <w:t>Year 3 (n</w:t>
            </w:r>
            <w:r w:rsidR="005C5DD1">
              <w:rPr>
                <w:color w:val="000000"/>
              </w:rPr>
              <w:t xml:space="preserve"> </w:t>
            </w:r>
            <w:r>
              <w:rPr>
                <w:color w:val="000000"/>
              </w:rPr>
              <w:t>=</w:t>
            </w:r>
            <w:r w:rsidR="005C5DD1">
              <w:rPr>
                <w:color w:val="000000"/>
              </w:rPr>
              <w:t xml:space="preserve"> </w:t>
            </w:r>
            <w:r>
              <w:rPr>
                <w:color w:val="000000"/>
              </w:rPr>
              <w:t>132 months)</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23.14%</w:t>
            </w:r>
          </w:p>
        </w:tc>
        <w:tc>
          <w:tcPr>
            <w:tcW w:w="1057"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35.93%</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6.28%</w:t>
            </w:r>
          </w:p>
        </w:tc>
        <w:tc>
          <w:tcPr>
            <w:tcW w:w="1035"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5.49%</w:t>
            </w:r>
          </w:p>
        </w:tc>
        <w:tc>
          <w:tcPr>
            <w:tcW w:w="1242"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4.47%</w:t>
            </w:r>
          </w:p>
        </w:tc>
      </w:tr>
      <w:tr w:rsidR="00C87FA7" w:rsidTr="005B3192">
        <w:trPr>
          <w:trHeight w:val="330"/>
        </w:trPr>
        <w:tc>
          <w:tcPr>
            <w:tcW w:w="4467" w:type="dxa"/>
            <w:tcBorders>
              <w:top w:val="nil"/>
              <w:left w:val="nil"/>
              <w:bottom w:val="single" w:sz="8" w:space="0" w:color="auto"/>
              <w:right w:val="nil"/>
            </w:tcBorders>
            <w:shd w:val="clear" w:color="auto" w:fill="auto"/>
            <w:noWrap/>
            <w:vAlign w:val="center"/>
            <w:hideMark/>
          </w:tcPr>
          <w:p w:rsidR="00C87FA7" w:rsidRDefault="00C87FA7">
            <w:pPr>
              <w:rPr>
                <w:color w:val="000000"/>
              </w:rPr>
            </w:pPr>
            <w:r>
              <w:rPr>
                <w:color w:val="000000"/>
              </w:rPr>
              <w:t>Other Years (n</w:t>
            </w:r>
            <w:r w:rsidR="005C5DD1">
              <w:rPr>
                <w:color w:val="000000"/>
              </w:rPr>
              <w:t xml:space="preserve"> </w:t>
            </w:r>
            <w:r>
              <w:rPr>
                <w:color w:val="000000"/>
              </w:rPr>
              <w:t>= 396 months)</w:t>
            </w:r>
          </w:p>
        </w:tc>
        <w:tc>
          <w:tcPr>
            <w:tcW w:w="956"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6.16%</w:t>
            </w:r>
          </w:p>
        </w:tc>
        <w:tc>
          <w:tcPr>
            <w:tcW w:w="1057"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9.06%</w:t>
            </w:r>
          </w:p>
        </w:tc>
        <w:tc>
          <w:tcPr>
            <w:tcW w:w="956"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8.67%</w:t>
            </w:r>
          </w:p>
        </w:tc>
        <w:tc>
          <w:tcPr>
            <w:tcW w:w="1035"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5.83%</w:t>
            </w:r>
          </w:p>
        </w:tc>
        <w:tc>
          <w:tcPr>
            <w:tcW w:w="1242" w:type="dxa"/>
            <w:tcBorders>
              <w:top w:val="nil"/>
              <w:left w:val="nil"/>
              <w:bottom w:val="single" w:sz="8" w:space="0" w:color="auto"/>
              <w:right w:val="nil"/>
            </w:tcBorders>
            <w:shd w:val="clear" w:color="auto" w:fill="auto"/>
            <w:noWrap/>
            <w:vAlign w:val="center"/>
            <w:hideMark/>
          </w:tcPr>
          <w:p w:rsidR="00C87FA7" w:rsidRDefault="00C87FA7">
            <w:pPr>
              <w:jc w:val="center"/>
              <w:rPr>
                <w:color w:val="000000"/>
              </w:rPr>
            </w:pPr>
            <w:r>
              <w:rPr>
                <w:color w:val="000000"/>
              </w:rPr>
              <w:t>4.44%</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color w:val="000000"/>
              </w:rPr>
            </w:pPr>
            <w:r>
              <w:rPr>
                <w:color w:val="000000"/>
              </w:rPr>
              <w:t>Year 3-Other Years</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16.98%</w:t>
            </w:r>
          </w:p>
        </w:tc>
        <w:tc>
          <w:tcPr>
            <w:tcW w:w="1057"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26.87%</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-2.39%</w:t>
            </w:r>
          </w:p>
        </w:tc>
        <w:tc>
          <w:tcPr>
            <w:tcW w:w="1035"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0.34%</w:t>
            </w:r>
          </w:p>
        </w:tc>
        <w:tc>
          <w:tcPr>
            <w:tcW w:w="1242"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0.03%</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1324E" w:rsidP="00A95677">
            <w:pPr>
              <w:rPr>
                <w:color w:val="000000"/>
              </w:rPr>
            </w:pPr>
            <w:r w:rsidRPr="00A66E9A">
              <w:rPr>
                <w:i/>
                <w:color w:val="000000"/>
              </w:rPr>
              <w:t>t</w:t>
            </w:r>
            <w:r w:rsidR="00C87FA7">
              <w:rPr>
                <w:color w:val="000000"/>
              </w:rPr>
              <w:t>-stat Prob</w:t>
            </w:r>
            <w:r w:rsidR="00A95677">
              <w:rPr>
                <w:color w:val="000000"/>
              </w:rPr>
              <w:t>ability</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0.00</w:t>
            </w:r>
          </w:p>
        </w:tc>
        <w:tc>
          <w:tcPr>
            <w:tcW w:w="1057"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0.00</w:t>
            </w:r>
          </w:p>
        </w:tc>
        <w:tc>
          <w:tcPr>
            <w:tcW w:w="956"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0.24</w:t>
            </w:r>
          </w:p>
        </w:tc>
        <w:tc>
          <w:tcPr>
            <w:tcW w:w="1035"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0.09</w:t>
            </w:r>
          </w:p>
        </w:tc>
        <w:tc>
          <w:tcPr>
            <w:tcW w:w="1242" w:type="dxa"/>
            <w:tcBorders>
              <w:top w:val="nil"/>
              <w:left w:val="nil"/>
              <w:bottom w:val="nil"/>
              <w:right w:val="nil"/>
            </w:tcBorders>
            <w:shd w:val="clear" w:color="auto" w:fill="auto"/>
            <w:noWrap/>
            <w:vAlign w:val="center"/>
            <w:hideMark/>
          </w:tcPr>
          <w:p w:rsidR="00C87FA7" w:rsidRDefault="00C87FA7">
            <w:pPr>
              <w:jc w:val="center"/>
              <w:rPr>
                <w:color w:val="000000"/>
              </w:rPr>
            </w:pPr>
            <w:r>
              <w:rPr>
                <w:color w:val="000000"/>
              </w:rPr>
              <w:t>0.47</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b/>
                <w:bCs/>
                <w:color w:val="000000"/>
              </w:rPr>
            </w:pPr>
          </w:p>
        </w:tc>
        <w:tc>
          <w:tcPr>
            <w:tcW w:w="956"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057"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956"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035"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c>
          <w:tcPr>
            <w:tcW w:w="1242" w:type="dxa"/>
            <w:vMerge w:val="restart"/>
            <w:tcBorders>
              <w:top w:val="nil"/>
              <w:left w:val="nil"/>
              <w:bottom w:val="nil"/>
              <w:right w:val="nil"/>
            </w:tcBorders>
            <w:shd w:val="clear" w:color="auto" w:fill="auto"/>
            <w:noWrap/>
            <w:vAlign w:val="bottom"/>
            <w:hideMark/>
          </w:tcPr>
          <w:p w:rsidR="00C87FA7" w:rsidRDefault="00C87FA7">
            <w:pPr>
              <w:rPr>
                <w:color w:val="000000"/>
                <w:sz w:val="20"/>
                <w:szCs w:val="20"/>
              </w:rPr>
            </w:pP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jc w:val="center"/>
              <w:rPr>
                <w:b/>
                <w:bCs/>
                <w:color w:val="000000"/>
              </w:rPr>
            </w:pPr>
            <w:r>
              <w:rPr>
                <w:b/>
                <w:bCs/>
                <w:color w:val="000000"/>
              </w:rPr>
              <w:t>Panel D</w:t>
            </w:r>
            <w:r w:rsidR="00C74CDF">
              <w:rPr>
                <w:b/>
                <w:bCs/>
                <w:color w:val="000000"/>
              </w:rPr>
              <w:t>.</w:t>
            </w:r>
            <w:r>
              <w:rPr>
                <w:b/>
                <w:bCs/>
                <w:color w:val="000000"/>
              </w:rPr>
              <w:t xml:space="preserve"> Monetary Policy Influence</w:t>
            </w:r>
          </w:p>
        </w:tc>
        <w:tc>
          <w:tcPr>
            <w:tcW w:w="956" w:type="dxa"/>
            <w:vMerge/>
            <w:tcBorders>
              <w:top w:val="nil"/>
              <w:left w:val="nil"/>
              <w:bottom w:val="nil"/>
              <w:right w:val="nil"/>
            </w:tcBorders>
            <w:vAlign w:val="center"/>
            <w:hideMark/>
          </w:tcPr>
          <w:p w:rsidR="00C87FA7" w:rsidRDefault="00C87FA7">
            <w:pPr>
              <w:rPr>
                <w:color w:val="000000"/>
                <w:sz w:val="20"/>
                <w:szCs w:val="20"/>
              </w:rPr>
            </w:pPr>
          </w:p>
        </w:tc>
        <w:tc>
          <w:tcPr>
            <w:tcW w:w="1057" w:type="dxa"/>
            <w:vMerge/>
            <w:tcBorders>
              <w:top w:val="nil"/>
              <w:left w:val="nil"/>
              <w:bottom w:val="nil"/>
              <w:right w:val="nil"/>
            </w:tcBorders>
            <w:vAlign w:val="center"/>
            <w:hideMark/>
          </w:tcPr>
          <w:p w:rsidR="00C87FA7" w:rsidRDefault="00C87FA7">
            <w:pPr>
              <w:rPr>
                <w:color w:val="000000"/>
                <w:sz w:val="20"/>
                <w:szCs w:val="20"/>
              </w:rPr>
            </w:pPr>
          </w:p>
        </w:tc>
        <w:tc>
          <w:tcPr>
            <w:tcW w:w="956" w:type="dxa"/>
            <w:vMerge/>
            <w:tcBorders>
              <w:top w:val="nil"/>
              <w:left w:val="nil"/>
              <w:bottom w:val="nil"/>
              <w:right w:val="nil"/>
            </w:tcBorders>
            <w:vAlign w:val="center"/>
            <w:hideMark/>
          </w:tcPr>
          <w:p w:rsidR="00C87FA7" w:rsidRDefault="00C87FA7">
            <w:pPr>
              <w:rPr>
                <w:color w:val="000000"/>
                <w:sz w:val="20"/>
                <w:szCs w:val="20"/>
              </w:rPr>
            </w:pPr>
          </w:p>
        </w:tc>
        <w:tc>
          <w:tcPr>
            <w:tcW w:w="1035" w:type="dxa"/>
            <w:vMerge/>
            <w:tcBorders>
              <w:top w:val="nil"/>
              <w:left w:val="nil"/>
              <w:bottom w:val="nil"/>
              <w:right w:val="nil"/>
            </w:tcBorders>
            <w:vAlign w:val="center"/>
            <w:hideMark/>
          </w:tcPr>
          <w:p w:rsidR="00C87FA7" w:rsidRDefault="00C87FA7">
            <w:pPr>
              <w:rPr>
                <w:color w:val="000000"/>
                <w:sz w:val="20"/>
                <w:szCs w:val="20"/>
              </w:rPr>
            </w:pPr>
          </w:p>
        </w:tc>
        <w:tc>
          <w:tcPr>
            <w:tcW w:w="1242" w:type="dxa"/>
            <w:vMerge/>
            <w:tcBorders>
              <w:top w:val="nil"/>
              <w:left w:val="nil"/>
              <w:bottom w:val="nil"/>
              <w:right w:val="nil"/>
            </w:tcBorders>
            <w:vAlign w:val="center"/>
            <w:hideMark/>
          </w:tcPr>
          <w:p w:rsidR="00C87FA7" w:rsidRDefault="00C87FA7">
            <w:pPr>
              <w:rPr>
                <w:color w:val="000000"/>
                <w:sz w:val="20"/>
                <w:szCs w:val="20"/>
              </w:rPr>
            </w:pP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color w:val="000000"/>
              </w:rPr>
            </w:pPr>
            <w:r>
              <w:rPr>
                <w:color w:val="000000"/>
              </w:rPr>
              <w:t>Expansive (n</w:t>
            </w:r>
            <w:r w:rsidR="005C5DD1">
              <w:rPr>
                <w:color w:val="000000"/>
              </w:rPr>
              <w:t xml:space="preserve"> </w:t>
            </w:r>
            <w:r>
              <w:rPr>
                <w:color w:val="000000"/>
              </w:rPr>
              <w:t>= 161 months)</w:t>
            </w:r>
          </w:p>
        </w:tc>
        <w:tc>
          <w:tcPr>
            <w:tcW w:w="956"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16.62%</w:t>
            </w:r>
          </w:p>
        </w:tc>
        <w:tc>
          <w:tcPr>
            <w:tcW w:w="1057"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32.94%</w:t>
            </w:r>
          </w:p>
        </w:tc>
        <w:tc>
          <w:tcPr>
            <w:tcW w:w="956"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8.59%</w:t>
            </w:r>
          </w:p>
        </w:tc>
        <w:tc>
          <w:tcPr>
            <w:tcW w:w="1035"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4.67%</w:t>
            </w:r>
          </w:p>
        </w:tc>
        <w:tc>
          <w:tcPr>
            <w:tcW w:w="1242"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2.97%</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BD1087">
            <w:pPr>
              <w:rPr>
                <w:color w:val="000000"/>
              </w:rPr>
            </w:pPr>
            <w:r>
              <w:rPr>
                <w:color w:val="000000"/>
              </w:rPr>
              <w:t>Indeterminate</w:t>
            </w:r>
            <w:r w:rsidR="00C87FA7">
              <w:rPr>
                <w:color w:val="000000"/>
              </w:rPr>
              <w:t xml:space="preserve"> (n</w:t>
            </w:r>
            <w:r w:rsidR="005C5DD1">
              <w:rPr>
                <w:color w:val="000000"/>
              </w:rPr>
              <w:t xml:space="preserve"> </w:t>
            </w:r>
            <w:r w:rsidR="00C87FA7">
              <w:rPr>
                <w:color w:val="000000"/>
              </w:rPr>
              <w:t>=</w:t>
            </w:r>
            <w:r w:rsidR="005C5DD1">
              <w:rPr>
                <w:color w:val="000000"/>
              </w:rPr>
              <w:t xml:space="preserve"> </w:t>
            </w:r>
            <w:r w:rsidR="00C87FA7">
              <w:rPr>
                <w:color w:val="000000"/>
              </w:rPr>
              <w:t>186 months)</w:t>
            </w:r>
          </w:p>
        </w:tc>
        <w:tc>
          <w:tcPr>
            <w:tcW w:w="956"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10.01%</w:t>
            </w:r>
          </w:p>
        </w:tc>
        <w:tc>
          <w:tcPr>
            <w:tcW w:w="1057"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9.14%</w:t>
            </w:r>
          </w:p>
        </w:tc>
        <w:tc>
          <w:tcPr>
            <w:tcW w:w="956"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10.14%</w:t>
            </w:r>
          </w:p>
        </w:tc>
        <w:tc>
          <w:tcPr>
            <w:tcW w:w="1035"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6.01%</w:t>
            </w:r>
          </w:p>
        </w:tc>
        <w:tc>
          <w:tcPr>
            <w:tcW w:w="1242"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4.54%</w:t>
            </w:r>
          </w:p>
        </w:tc>
      </w:tr>
      <w:tr w:rsidR="00C87FA7" w:rsidTr="005B3192">
        <w:trPr>
          <w:trHeight w:val="330"/>
        </w:trPr>
        <w:tc>
          <w:tcPr>
            <w:tcW w:w="4467" w:type="dxa"/>
            <w:tcBorders>
              <w:top w:val="nil"/>
              <w:left w:val="nil"/>
              <w:bottom w:val="single" w:sz="8" w:space="0" w:color="auto"/>
              <w:right w:val="nil"/>
            </w:tcBorders>
            <w:shd w:val="clear" w:color="auto" w:fill="auto"/>
            <w:noWrap/>
            <w:vAlign w:val="center"/>
            <w:hideMark/>
          </w:tcPr>
          <w:p w:rsidR="00C87FA7" w:rsidRDefault="00C87FA7">
            <w:pPr>
              <w:rPr>
                <w:color w:val="000000"/>
              </w:rPr>
            </w:pPr>
            <w:r>
              <w:rPr>
                <w:color w:val="000000"/>
              </w:rPr>
              <w:t>Restrictive (n</w:t>
            </w:r>
            <w:r w:rsidR="005C5DD1">
              <w:rPr>
                <w:color w:val="000000"/>
              </w:rPr>
              <w:t xml:space="preserve"> </w:t>
            </w:r>
            <w:r>
              <w:rPr>
                <w:color w:val="000000"/>
              </w:rPr>
              <w:t>=</w:t>
            </w:r>
            <w:r w:rsidR="005C5DD1">
              <w:rPr>
                <w:color w:val="000000"/>
              </w:rPr>
              <w:t xml:space="preserve"> </w:t>
            </w:r>
            <w:r>
              <w:rPr>
                <w:color w:val="000000"/>
              </w:rPr>
              <w:t>181 months)</w:t>
            </w:r>
          </w:p>
        </w:tc>
        <w:tc>
          <w:tcPr>
            <w:tcW w:w="956"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4.92%</w:t>
            </w:r>
          </w:p>
        </w:tc>
        <w:tc>
          <w:tcPr>
            <w:tcW w:w="1057"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7.31%</w:t>
            </w:r>
          </w:p>
        </w:tc>
        <w:tc>
          <w:tcPr>
            <w:tcW w:w="956"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5.53%</w:t>
            </w:r>
          </w:p>
        </w:tc>
        <w:tc>
          <w:tcPr>
            <w:tcW w:w="1035"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6.43%</w:t>
            </w:r>
          </w:p>
        </w:tc>
        <w:tc>
          <w:tcPr>
            <w:tcW w:w="1242"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5.68%</w:t>
            </w:r>
          </w:p>
        </w:tc>
      </w:tr>
      <w:tr w:rsidR="00C87FA7" w:rsidTr="005B3192">
        <w:trPr>
          <w:trHeight w:val="315"/>
        </w:trPr>
        <w:tc>
          <w:tcPr>
            <w:tcW w:w="4467" w:type="dxa"/>
            <w:tcBorders>
              <w:top w:val="nil"/>
              <w:left w:val="nil"/>
              <w:bottom w:val="nil"/>
              <w:right w:val="nil"/>
            </w:tcBorders>
            <w:shd w:val="clear" w:color="auto" w:fill="auto"/>
            <w:noWrap/>
            <w:vAlign w:val="center"/>
            <w:hideMark/>
          </w:tcPr>
          <w:p w:rsidR="00C87FA7" w:rsidRDefault="00C87FA7">
            <w:pPr>
              <w:rPr>
                <w:color w:val="000000"/>
              </w:rPr>
            </w:pPr>
            <w:r>
              <w:rPr>
                <w:color w:val="000000"/>
              </w:rPr>
              <w:t>Exp</w:t>
            </w:r>
            <w:r w:rsidR="00A95677">
              <w:rPr>
                <w:color w:val="000000"/>
              </w:rPr>
              <w:t>ansive</w:t>
            </w:r>
            <w:r>
              <w:rPr>
                <w:color w:val="000000"/>
              </w:rPr>
              <w:t>-Restrict</w:t>
            </w:r>
            <w:r w:rsidR="00A95677">
              <w:rPr>
                <w:color w:val="000000"/>
              </w:rPr>
              <w:t>ive</w:t>
            </w:r>
            <w:r>
              <w:rPr>
                <w:color w:val="000000"/>
              </w:rPr>
              <w:t>.</w:t>
            </w:r>
          </w:p>
        </w:tc>
        <w:tc>
          <w:tcPr>
            <w:tcW w:w="956"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11.70%</w:t>
            </w:r>
          </w:p>
        </w:tc>
        <w:tc>
          <w:tcPr>
            <w:tcW w:w="1057"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25.63%</w:t>
            </w:r>
          </w:p>
        </w:tc>
        <w:tc>
          <w:tcPr>
            <w:tcW w:w="956"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3.06%</w:t>
            </w:r>
          </w:p>
        </w:tc>
        <w:tc>
          <w:tcPr>
            <w:tcW w:w="1035"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-1.76%</w:t>
            </w:r>
          </w:p>
        </w:tc>
        <w:tc>
          <w:tcPr>
            <w:tcW w:w="1242" w:type="dxa"/>
            <w:tcBorders>
              <w:top w:val="nil"/>
              <w:left w:val="nil"/>
              <w:bottom w:val="nil"/>
              <w:right w:val="nil"/>
            </w:tcBorders>
            <w:shd w:val="clear" w:color="auto" w:fill="auto"/>
            <w:noWrap/>
            <w:vAlign w:val="bottom"/>
            <w:hideMark/>
          </w:tcPr>
          <w:p w:rsidR="00C87FA7" w:rsidRDefault="00C87FA7">
            <w:pPr>
              <w:jc w:val="center"/>
              <w:rPr>
                <w:color w:val="000000"/>
              </w:rPr>
            </w:pPr>
            <w:r>
              <w:rPr>
                <w:color w:val="000000"/>
              </w:rPr>
              <w:t>-2.72%</w:t>
            </w:r>
          </w:p>
        </w:tc>
      </w:tr>
      <w:tr w:rsidR="00C87FA7" w:rsidTr="005B3192">
        <w:trPr>
          <w:trHeight w:val="330"/>
        </w:trPr>
        <w:tc>
          <w:tcPr>
            <w:tcW w:w="4467" w:type="dxa"/>
            <w:tcBorders>
              <w:top w:val="nil"/>
              <w:left w:val="nil"/>
              <w:bottom w:val="single" w:sz="8" w:space="0" w:color="auto"/>
              <w:right w:val="nil"/>
            </w:tcBorders>
            <w:shd w:val="clear" w:color="auto" w:fill="auto"/>
            <w:noWrap/>
            <w:vAlign w:val="center"/>
            <w:hideMark/>
          </w:tcPr>
          <w:p w:rsidR="00C87FA7" w:rsidRDefault="00C1324E" w:rsidP="00A95677">
            <w:pPr>
              <w:rPr>
                <w:color w:val="000000"/>
              </w:rPr>
            </w:pPr>
            <w:r w:rsidRPr="00A66E9A">
              <w:rPr>
                <w:i/>
                <w:color w:val="000000"/>
              </w:rPr>
              <w:t>t</w:t>
            </w:r>
            <w:r w:rsidR="00C87FA7">
              <w:rPr>
                <w:color w:val="000000"/>
              </w:rPr>
              <w:t>-stat Prob</w:t>
            </w:r>
            <w:r w:rsidR="00A95677">
              <w:rPr>
                <w:color w:val="000000"/>
              </w:rPr>
              <w:t>ability</w:t>
            </w:r>
          </w:p>
        </w:tc>
        <w:tc>
          <w:tcPr>
            <w:tcW w:w="956"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0.03</w:t>
            </w:r>
          </w:p>
        </w:tc>
        <w:tc>
          <w:tcPr>
            <w:tcW w:w="1057"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0.00</w:t>
            </w:r>
          </w:p>
        </w:tc>
        <w:tc>
          <w:tcPr>
            <w:tcW w:w="956"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0.22</w:t>
            </w:r>
          </w:p>
        </w:tc>
        <w:tc>
          <w:tcPr>
            <w:tcW w:w="1035"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0.00</w:t>
            </w:r>
          </w:p>
        </w:tc>
        <w:tc>
          <w:tcPr>
            <w:tcW w:w="1242" w:type="dxa"/>
            <w:tcBorders>
              <w:top w:val="nil"/>
              <w:left w:val="nil"/>
              <w:bottom w:val="single" w:sz="8" w:space="0" w:color="auto"/>
              <w:right w:val="nil"/>
            </w:tcBorders>
            <w:shd w:val="clear" w:color="auto" w:fill="auto"/>
            <w:noWrap/>
            <w:vAlign w:val="bottom"/>
            <w:hideMark/>
          </w:tcPr>
          <w:p w:rsidR="00C87FA7" w:rsidRDefault="00C87FA7">
            <w:pPr>
              <w:jc w:val="center"/>
              <w:rPr>
                <w:color w:val="000000"/>
              </w:rPr>
            </w:pPr>
            <w:r>
              <w:rPr>
                <w:color w:val="000000"/>
              </w:rPr>
              <w:t>0.00</w:t>
            </w:r>
          </w:p>
        </w:tc>
      </w:tr>
    </w:tbl>
    <w:p w:rsidR="00321F14" w:rsidRDefault="00321F14" w:rsidP="00625EAC">
      <w:pPr>
        <w:jc w:val="both"/>
        <w:rPr>
          <w:sz w:val="20"/>
          <w:szCs w:val="20"/>
        </w:rPr>
      </w:pPr>
      <w:r>
        <w:rPr>
          <w:sz w:val="20"/>
          <w:szCs w:val="20"/>
        </w:rPr>
        <w:t>a – The number of months in each administration during the respective sample period is identified by "n".</w:t>
      </w:r>
    </w:p>
    <w:p w:rsidR="00321F14" w:rsidRPr="00B06EE2" w:rsidRDefault="00321F14" w:rsidP="00625EAC">
      <w:pPr>
        <w:jc w:val="both"/>
        <w:rPr>
          <w:sz w:val="20"/>
          <w:szCs w:val="20"/>
        </w:rPr>
      </w:pPr>
      <w:r>
        <w:rPr>
          <w:sz w:val="20"/>
          <w:szCs w:val="20"/>
        </w:rPr>
        <w:t>b -</w:t>
      </w:r>
      <w:r w:rsidRPr="00B06EE2">
        <w:rPr>
          <w:sz w:val="20"/>
          <w:szCs w:val="20"/>
        </w:rPr>
        <w:t xml:space="preserve"> The difference in means test was performed on mean monthly returns. </w:t>
      </w:r>
      <w:r>
        <w:rPr>
          <w:sz w:val="20"/>
          <w:szCs w:val="20"/>
        </w:rPr>
        <w:t xml:space="preserve"> Therefore, the </w:t>
      </w:r>
      <w:r w:rsidR="00C1324E" w:rsidRPr="00A66E9A">
        <w:rPr>
          <w:i/>
          <w:sz w:val="20"/>
          <w:szCs w:val="20"/>
        </w:rPr>
        <w:t>p</w:t>
      </w:r>
      <w:r>
        <w:rPr>
          <w:sz w:val="20"/>
          <w:szCs w:val="20"/>
        </w:rPr>
        <w:t xml:space="preserve">-value indicates whether the mean monthly returns are different between Republican and Democratic administrations. </w:t>
      </w:r>
      <w:r w:rsidRPr="00B06EE2">
        <w:rPr>
          <w:sz w:val="20"/>
          <w:szCs w:val="20"/>
        </w:rPr>
        <w:t xml:space="preserve">Annual returns are reported for expositional purposes and </w:t>
      </w:r>
      <w:r w:rsidR="00815747">
        <w:rPr>
          <w:sz w:val="20"/>
          <w:szCs w:val="20"/>
        </w:rPr>
        <w:t>are</w:t>
      </w:r>
      <w:r w:rsidRPr="00B06EE2">
        <w:rPr>
          <w:sz w:val="20"/>
          <w:szCs w:val="20"/>
        </w:rPr>
        <w:t xml:space="preserve"> calculated by </w:t>
      </w:r>
      <w:r w:rsidR="00D00CB9">
        <w:rPr>
          <w:sz w:val="20"/>
          <w:szCs w:val="20"/>
        </w:rPr>
        <w:t>compounding the</w:t>
      </w:r>
      <w:r w:rsidRPr="00B06EE2">
        <w:rPr>
          <w:sz w:val="20"/>
          <w:szCs w:val="20"/>
        </w:rPr>
        <w:t xml:space="preserve"> mean monthly returns.</w:t>
      </w:r>
    </w:p>
    <w:p w:rsidR="002D2D66" w:rsidRDefault="002D2D66" w:rsidP="00EE23DD"/>
    <w:p w:rsidR="00EE23DD" w:rsidRDefault="00EE23DD" w:rsidP="00EE23DD">
      <w:pPr>
        <w:rPr>
          <w:b/>
        </w:rPr>
      </w:pPr>
    </w:p>
    <w:p w:rsidR="00A10BC3" w:rsidRDefault="00A10BC3" w:rsidP="00EE23DD">
      <w:pPr>
        <w:rPr>
          <w:b/>
        </w:rPr>
      </w:pPr>
    </w:p>
    <w:p w:rsidR="00A10BC3" w:rsidRDefault="00A10BC3" w:rsidP="00EE23DD">
      <w:pPr>
        <w:rPr>
          <w:b/>
        </w:rPr>
      </w:pPr>
    </w:p>
    <w:p w:rsidR="00A10BC3" w:rsidRDefault="00A10BC3" w:rsidP="00EE23DD">
      <w:pPr>
        <w:rPr>
          <w:b/>
        </w:rPr>
      </w:pPr>
    </w:p>
    <w:p w:rsidR="00A10BC3" w:rsidRDefault="00A10BC3" w:rsidP="00EE23DD">
      <w:pPr>
        <w:rPr>
          <w:b/>
        </w:rPr>
      </w:pPr>
    </w:p>
    <w:p w:rsidR="00A174B7" w:rsidRDefault="00A174B7" w:rsidP="00EE23DD">
      <w:pPr>
        <w:rPr>
          <w:b/>
        </w:rPr>
      </w:pPr>
    </w:p>
    <w:p w:rsidR="00A174B7" w:rsidRDefault="00A174B7" w:rsidP="00EE23DD">
      <w:pPr>
        <w:rPr>
          <w:b/>
        </w:rPr>
      </w:pPr>
    </w:p>
    <w:p w:rsidR="00A10BC3" w:rsidRDefault="00A10BC3" w:rsidP="00EE23DD">
      <w:pPr>
        <w:rPr>
          <w:b/>
        </w:rPr>
      </w:pPr>
    </w:p>
    <w:p w:rsidR="00250F1D" w:rsidRDefault="00250F1D" w:rsidP="00EE23DD">
      <w:pPr>
        <w:rPr>
          <w:b/>
        </w:rPr>
      </w:pPr>
    </w:p>
    <w:p w:rsidR="00250F1D" w:rsidRPr="00321F14" w:rsidRDefault="00250F1D" w:rsidP="00EE23DD">
      <w:pPr>
        <w:rPr>
          <w:b/>
        </w:rPr>
      </w:pPr>
    </w:p>
    <w:p w:rsidR="00321F14" w:rsidRPr="00625EAC" w:rsidRDefault="00321F14" w:rsidP="00625EAC">
      <w:pPr>
        <w:jc w:val="center"/>
        <w:rPr>
          <w:b/>
        </w:rPr>
      </w:pPr>
      <w:r w:rsidRPr="00625EAC">
        <w:rPr>
          <w:b/>
        </w:rPr>
        <w:t>E</w:t>
      </w:r>
      <w:r w:rsidR="000C7451" w:rsidRPr="00625EAC">
        <w:rPr>
          <w:b/>
          <w:smallCaps/>
        </w:rPr>
        <w:t>xhibit</w:t>
      </w:r>
      <w:r w:rsidR="002D2D66" w:rsidRPr="00625EAC">
        <w:rPr>
          <w:b/>
        </w:rPr>
        <w:t xml:space="preserve"> 2</w:t>
      </w:r>
    </w:p>
    <w:p w:rsidR="00321F14" w:rsidRPr="00625EAC" w:rsidRDefault="00321F14" w:rsidP="00625EAC">
      <w:pPr>
        <w:jc w:val="center"/>
        <w:rPr>
          <w:b/>
        </w:rPr>
      </w:pPr>
      <w:r w:rsidRPr="00625EAC">
        <w:rPr>
          <w:b/>
        </w:rPr>
        <w:t>Security Returns and the Combined Influence of Political and Monetary Conditions</w:t>
      </w:r>
    </w:p>
    <w:tbl>
      <w:tblPr>
        <w:tblW w:w="0" w:type="auto"/>
        <w:jc w:val="center"/>
        <w:tblBorders>
          <w:top w:val="single" w:sz="4" w:space="0" w:color="auto"/>
        </w:tblBorders>
        <w:tblLook w:val="00A0" w:firstRow="1" w:lastRow="0" w:firstColumn="1" w:lastColumn="0" w:noHBand="0" w:noVBand="0"/>
      </w:tblPr>
      <w:tblGrid>
        <w:gridCol w:w="1043"/>
        <w:gridCol w:w="1121"/>
        <w:gridCol w:w="43"/>
        <w:gridCol w:w="1790"/>
        <w:gridCol w:w="1156"/>
        <w:gridCol w:w="1443"/>
        <w:gridCol w:w="1297"/>
        <w:gridCol w:w="1323"/>
      </w:tblGrid>
      <w:tr w:rsidR="00EE23DD" w:rsidRPr="00625EAC" w:rsidTr="008143F4">
        <w:trPr>
          <w:trHeight w:val="692"/>
          <w:jc w:val="center"/>
        </w:trPr>
        <w:tc>
          <w:tcPr>
            <w:tcW w:w="2164" w:type="dxa"/>
            <w:gridSpan w:val="2"/>
            <w:tcBorders>
              <w:top w:val="single" w:sz="4" w:space="0" w:color="auto"/>
              <w:bottom w:val="dashSmallGap" w:sz="4" w:space="0" w:color="auto"/>
            </w:tcBorders>
            <w:shd w:val="clear" w:color="auto" w:fill="auto"/>
          </w:tcPr>
          <w:p w:rsidR="00EE23DD" w:rsidRPr="00625EAC" w:rsidRDefault="00EE23DD" w:rsidP="00625EAC">
            <w:pPr>
              <w:jc w:val="center"/>
              <w:rPr>
                <w:b/>
              </w:rPr>
            </w:pPr>
          </w:p>
        </w:tc>
        <w:tc>
          <w:tcPr>
            <w:tcW w:w="7052" w:type="dxa"/>
            <w:gridSpan w:val="6"/>
            <w:tcBorders>
              <w:top w:val="single" w:sz="4" w:space="0" w:color="auto"/>
              <w:bottom w:val="dashSmallGap" w:sz="4" w:space="0" w:color="auto"/>
            </w:tcBorders>
            <w:shd w:val="clear" w:color="auto" w:fill="auto"/>
            <w:vAlign w:val="center"/>
          </w:tcPr>
          <w:p w:rsidR="00EE23DD" w:rsidRPr="00625EAC" w:rsidRDefault="002D2D66" w:rsidP="00414C4B">
            <w:pPr>
              <w:rPr>
                <w:b/>
              </w:rPr>
            </w:pPr>
            <w:r w:rsidRPr="00625EAC">
              <w:rPr>
                <w:b/>
              </w:rPr>
              <w:t>Regression Results, (1965</w:t>
            </w:r>
            <w:r w:rsidR="00EE23DD" w:rsidRPr="00625EAC">
              <w:rPr>
                <w:b/>
              </w:rPr>
              <w:t xml:space="preserve"> – 2008)</w:t>
            </w:r>
          </w:p>
        </w:tc>
      </w:tr>
      <w:tr w:rsidR="008143F4" w:rsidRPr="00625EAC" w:rsidTr="00A33BB9">
        <w:trPr>
          <w:jc w:val="center"/>
        </w:trPr>
        <w:tc>
          <w:tcPr>
            <w:tcW w:w="1043" w:type="dxa"/>
            <w:tcBorders>
              <w:top w:val="dashSmallGap" w:sz="4" w:space="0" w:color="auto"/>
              <w:bottom w:val="single" w:sz="4" w:space="0" w:color="auto"/>
            </w:tcBorders>
            <w:shd w:val="clear" w:color="auto" w:fill="auto"/>
            <w:vAlign w:val="center"/>
          </w:tcPr>
          <w:p w:rsidR="008143F4" w:rsidRPr="00625EAC" w:rsidRDefault="008143F4" w:rsidP="00625EAC">
            <w:pPr>
              <w:jc w:val="center"/>
              <w:rPr>
                <w:b/>
              </w:rPr>
            </w:pPr>
          </w:p>
          <w:p w:rsidR="008143F4" w:rsidRPr="00625EAC" w:rsidRDefault="008143F4" w:rsidP="00625EAC">
            <w:pPr>
              <w:jc w:val="center"/>
              <w:rPr>
                <w:b/>
              </w:rPr>
            </w:pPr>
            <w:r w:rsidRPr="00625EAC">
              <w:rPr>
                <w:b/>
              </w:rPr>
              <w:t>Index</w:t>
            </w:r>
          </w:p>
        </w:tc>
        <w:tc>
          <w:tcPr>
            <w:tcW w:w="1164" w:type="dxa"/>
            <w:gridSpan w:val="2"/>
            <w:tcBorders>
              <w:top w:val="dashSmallGap" w:sz="4" w:space="0" w:color="auto"/>
              <w:bottom w:val="single" w:sz="4" w:space="0" w:color="auto"/>
            </w:tcBorders>
            <w:shd w:val="clear" w:color="auto" w:fill="auto"/>
            <w:vAlign w:val="center"/>
          </w:tcPr>
          <w:p w:rsidR="008143F4" w:rsidRPr="00625EAC" w:rsidRDefault="008143F4" w:rsidP="00625EAC">
            <w:pPr>
              <w:jc w:val="center"/>
              <w:rPr>
                <w:b/>
              </w:rPr>
            </w:pPr>
          </w:p>
          <w:p w:rsidR="008143F4" w:rsidRPr="00625EAC" w:rsidRDefault="008143F4" w:rsidP="00625EAC">
            <w:pPr>
              <w:jc w:val="center"/>
              <w:rPr>
                <w:b/>
              </w:rPr>
            </w:pPr>
            <w:r w:rsidRPr="00625EAC">
              <w:rPr>
                <w:b/>
              </w:rPr>
              <w:t>Intercept</w:t>
            </w:r>
          </w:p>
        </w:tc>
        <w:tc>
          <w:tcPr>
            <w:tcW w:w="1790" w:type="dxa"/>
            <w:tcBorders>
              <w:top w:val="dashSmallGap" w:sz="4" w:space="0" w:color="auto"/>
              <w:bottom w:val="single" w:sz="4" w:space="0" w:color="auto"/>
            </w:tcBorders>
            <w:shd w:val="clear" w:color="auto" w:fill="auto"/>
            <w:vAlign w:val="center"/>
          </w:tcPr>
          <w:p w:rsidR="008143F4" w:rsidRPr="00625EAC" w:rsidRDefault="008143F4" w:rsidP="00625EAC">
            <w:pPr>
              <w:jc w:val="center"/>
              <w:rPr>
                <w:b/>
              </w:rPr>
            </w:pPr>
            <w:r w:rsidRPr="00625EAC">
              <w:rPr>
                <w:b/>
              </w:rPr>
              <w:t>Presidential Administration</w:t>
            </w:r>
          </w:p>
        </w:tc>
        <w:tc>
          <w:tcPr>
            <w:tcW w:w="1156" w:type="dxa"/>
            <w:tcBorders>
              <w:top w:val="dashSmallGap" w:sz="4" w:space="0" w:color="auto"/>
              <w:bottom w:val="single" w:sz="4" w:space="0" w:color="auto"/>
            </w:tcBorders>
            <w:shd w:val="clear" w:color="auto" w:fill="auto"/>
            <w:vAlign w:val="center"/>
          </w:tcPr>
          <w:p w:rsidR="008143F4" w:rsidRPr="00625EAC" w:rsidRDefault="008143F4" w:rsidP="00625EAC">
            <w:pPr>
              <w:jc w:val="center"/>
              <w:rPr>
                <w:b/>
              </w:rPr>
            </w:pPr>
            <w:r w:rsidRPr="00625EAC">
              <w:rPr>
                <w:b/>
              </w:rPr>
              <w:t>Political Gridlock</w:t>
            </w:r>
          </w:p>
        </w:tc>
        <w:tc>
          <w:tcPr>
            <w:tcW w:w="1443" w:type="dxa"/>
            <w:tcBorders>
              <w:top w:val="dashSmallGap" w:sz="4" w:space="0" w:color="auto"/>
              <w:bottom w:val="single" w:sz="4" w:space="0" w:color="auto"/>
            </w:tcBorders>
            <w:shd w:val="clear" w:color="auto" w:fill="auto"/>
            <w:vAlign w:val="center"/>
          </w:tcPr>
          <w:p w:rsidR="008143F4" w:rsidRPr="00625EAC" w:rsidRDefault="008143F4" w:rsidP="0099544E">
            <w:pPr>
              <w:jc w:val="center"/>
              <w:rPr>
                <w:b/>
              </w:rPr>
            </w:pPr>
            <w:r w:rsidRPr="00625EAC">
              <w:rPr>
                <w:b/>
              </w:rPr>
              <w:t>Presidential Term Year Three</w:t>
            </w:r>
          </w:p>
        </w:tc>
        <w:tc>
          <w:tcPr>
            <w:tcW w:w="1297" w:type="dxa"/>
            <w:tcBorders>
              <w:top w:val="dashSmallGap" w:sz="4" w:space="0" w:color="auto"/>
              <w:bottom w:val="single" w:sz="4" w:space="0" w:color="auto"/>
            </w:tcBorders>
            <w:shd w:val="clear" w:color="auto" w:fill="auto"/>
          </w:tcPr>
          <w:p w:rsidR="008143F4" w:rsidRPr="00625EAC" w:rsidRDefault="008143F4" w:rsidP="00625EAC">
            <w:pPr>
              <w:jc w:val="center"/>
              <w:rPr>
                <w:b/>
              </w:rPr>
            </w:pPr>
            <w:r>
              <w:rPr>
                <w:b/>
              </w:rPr>
              <w:t>Expansive Monetary Policy</w:t>
            </w:r>
          </w:p>
        </w:tc>
        <w:tc>
          <w:tcPr>
            <w:tcW w:w="1323" w:type="dxa"/>
            <w:tcBorders>
              <w:top w:val="dashSmallGap" w:sz="4" w:space="0" w:color="auto"/>
              <w:bottom w:val="single" w:sz="4" w:space="0" w:color="auto"/>
            </w:tcBorders>
            <w:shd w:val="clear" w:color="auto" w:fill="auto"/>
          </w:tcPr>
          <w:p w:rsidR="008143F4" w:rsidRPr="00625EAC" w:rsidRDefault="008143F4" w:rsidP="0099544E">
            <w:pPr>
              <w:jc w:val="center"/>
              <w:rPr>
                <w:b/>
              </w:rPr>
            </w:pPr>
            <w:r w:rsidRPr="00625EAC">
              <w:rPr>
                <w:b/>
              </w:rPr>
              <w:t>Restrictive Monetary Policy</w:t>
            </w:r>
          </w:p>
        </w:tc>
      </w:tr>
      <w:tr w:rsidR="008143F4" w:rsidRPr="00625EAC" w:rsidTr="00A33BB9">
        <w:trPr>
          <w:trHeight w:val="576"/>
          <w:jc w:val="center"/>
        </w:trPr>
        <w:tc>
          <w:tcPr>
            <w:tcW w:w="1043" w:type="dxa"/>
            <w:tcBorders>
              <w:top w:val="single" w:sz="4" w:space="0" w:color="auto"/>
            </w:tcBorders>
            <w:shd w:val="clear" w:color="auto" w:fill="auto"/>
            <w:vAlign w:val="center"/>
          </w:tcPr>
          <w:p w:rsidR="008143F4" w:rsidRPr="00625EAC" w:rsidRDefault="008143F4" w:rsidP="00625EAC">
            <w:pPr>
              <w:jc w:val="center"/>
            </w:pPr>
            <w:r>
              <w:t>Large</w:t>
            </w:r>
          </w:p>
        </w:tc>
        <w:tc>
          <w:tcPr>
            <w:tcW w:w="1164" w:type="dxa"/>
            <w:gridSpan w:val="2"/>
            <w:tcBorders>
              <w:top w:val="single" w:sz="4" w:space="0" w:color="auto"/>
            </w:tcBorders>
            <w:shd w:val="clear" w:color="auto" w:fill="auto"/>
            <w:vAlign w:val="center"/>
          </w:tcPr>
          <w:p w:rsidR="008143F4" w:rsidRPr="00625EAC" w:rsidRDefault="008143F4" w:rsidP="00625EAC">
            <w:pPr>
              <w:jc w:val="center"/>
              <w:rPr>
                <w:bCs/>
                <w:vertAlign w:val="superscript"/>
              </w:rPr>
            </w:pPr>
            <w:r w:rsidRPr="00625EAC">
              <w:rPr>
                <w:bCs/>
              </w:rPr>
              <w:t>0.00</w:t>
            </w:r>
            <w:r>
              <w:rPr>
                <w:bCs/>
              </w:rPr>
              <w:t>91</w:t>
            </w:r>
            <w:r w:rsidRPr="00625EAC">
              <w:rPr>
                <w:bCs/>
              </w:rPr>
              <w:t xml:space="preserve"> </w:t>
            </w:r>
          </w:p>
          <w:p w:rsidR="008143F4" w:rsidRPr="00625EAC" w:rsidRDefault="008143F4" w:rsidP="006B68CE">
            <w:pPr>
              <w:jc w:val="center"/>
              <w:rPr>
                <w:bCs/>
              </w:rPr>
            </w:pPr>
            <w:r w:rsidRPr="00625EAC">
              <w:rPr>
                <w:bCs/>
              </w:rPr>
              <w:t>(0.0</w:t>
            </w:r>
            <w:r w:rsidR="006B68CE">
              <w:rPr>
                <w:bCs/>
              </w:rPr>
              <w:t>35</w:t>
            </w:r>
            <w:r w:rsidRPr="00625EAC">
              <w:rPr>
                <w:bCs/>
              </w:rPr>
              <w:t>)</w:t>
            </w:r>
            <w:r w:rsidR="006B68CE">
              <w:rPr>
                <w:bCs/>
              </w:rPr>
              <w:t>**</w:t>
            </w:r>
          </w:p>
        </w:tc>
        <w:tc>
          <w:tcPr>
            <w:tcW w:w="1790" w:type="dxa"/>
            <w:tcBorders>
              <w:top w:val="single" w:sz="4" w:space="0" w:color="auto"/>
            </w:tcBorders>
            <w:shd w:val="clear" w:color="auto" w:fill="auto"/>
            <w:vAlign w:val="center"/>
          </w:tcPr>
          <w:p w:rsidR="008143F4" w:rsidRPr="00625EAC" w:rsidRDefault="008143F4" w:rsidP="00625EAC">
            <w:pPr>
              <w:jc w:val="center"/>
              <w:rPr>
                <w:bCs/>
              </w:rPr>
            </w:pPr>
            <w:r w:rsidRPr="00625EAC">
              <w:rPr>
                <w:bCs/>
              </w:rPr>
              <w:t>-0.00</w:t>
            </w:r>
            <w:r>
              <w:rPr>
                <w:bCs/>
              </w:rPr>
              <w:t>68</w:t>
            </w:r>
          </w:p>
          <w:p w:rsidR="008143F4" w:rsidRPr="00625EAC" w:rsidRDefault="008143F4" w:rsidP="006B68CE">
            <w:pPr>
              <w:jc w:val="center"/>
              <w:rPr>
                <w:bCs/>
              </w:rPr>
            </w:pPr>
            <w:r w:rsidRPr="00625EAC">
              <w:rPr>
                <w:bCs/>
              </w:rPr>
              <w:t>(0.</w:t>
            </w:r>
            <w:r>
              <w:rPr>
                <w:bCs/>
              </w:rPr>
              <w:t>0</w:t>
            </w:r>
            <w:r w:rsidR="006B68CE">
              <w:rPr>
                <w:bCs/>
              </w:rPr>
              <w:t>58</w:t>
            </w:r>
            <w:r w:rsidRPr="00625EAC">
              <w:rPr>
                <w:bCs/>
              </w:rPr>
              <w:t>)</w:t>
            </w:r>
          </w:p>
        </w:tc>
        <w:tc>
          <w:tcPr>
            <w:tcW w:w="1156" w:type="dxa"/>
            <w:tcBorders>
              <w:top w:val="single" w:sz="4" w:space="0" w:color="auto"/>
            </w:tcBorders>
            <w:shd w:val="clear" w:color="auto" w:fill="auto"/>
            <w:vAlign w:val="center"/>
          </w:tcPr>
          <w:p w:rsidR="008143F4" w:rsidRPr="00625EAC" w:rsidRDefault="008143F4" w:rsidP="00625EAC">
            <w:pPr>
              <w:jc w:val="center"/>
              <w:rPr>
                <w:bCs/>
              </w:rPr>
            </w:pPr>
            <w:r w:rsidRPr="00625EAC">
              <w:rPr>
                <w:bCs/>
              </w:rPr>
              <w:t>0.00</w:t>
            </w:r>
            <w:r>
              <w:rPr>
                <w:bCs/>
              </w:rPr>
              <w:t>038</w:t>
            </w:r>
          </w:p>
          <w:p w:rsidR="008143F4" w:rsidRPr="00625EAC" w:rsidRDefault="008143F4" w:rsidP="006B68CE">
            <w:pPr>
              <w:jc w:val="center"/>
              <w:rPr>
                <w:bCs/>
              </w:rPr>
            </w:pPr>
            <w:r w:rsidRPr="00625EAC">
              <w:rPr>
                <w:bCs/>
              </w:rPr>
              <w:t>(0.</w:t>
            </w:r>
            <w:r w:rsidR="006B68CE">
              <w:rPr>
                <w:bCs/>
              </w:rPr>
              <w:t>919</w:t>
            </w:r>
            <w:r w:rsidRPr="00625EAC">
              <w:rPr>
                <w:bCs/>
              </w:rPr>
              <w:t>)</w:t>
            </w:r>
          </w:p>
        </w:tc>
        <w:tc>
          <w:tcPr>
            <w:tcW w:w="1443" w:type="dxa"/>
            <w:tcBorders>
              <w:top w:val="single" w:sz="4" w:space="0" w:color="auto"/>
            </w:tcBorders>
            <w:shd w:val="clear" w:color="auto" w:fill="auto"/>
            <w:vAlign w:val="center"/>
          </w:tcPr>
          <w:p w:rsidR="008143F4" w:rsidRPr="00625EAC" w:rsidRDefault="008143F4" w:rsidP="0099544E">
            <w:pPr>
              <w:jc w:val="center"/>
              <w:rPr>
                <w:bCs/>
              </w:rPr>
            </w:pPr>
            <w:r w:rsidRPr="00625EAC">
              <w:rPr>
                <w:bCs/>
              </w:rPr>
              <w:t>0.0</w:t>
            </w:r>
            <w:r>
              <w:rPr>
                <w:bCs/>
              </w:rPr>
              <w:t>112</w:t>
            </w:r>
          </w:p>
          <w:p w:rsidR="008143F4" w:rsidRPr="00625EAC" w:rsidRDefault="008143F4" w:rsidP="006B68CE">
            <w:pPr>
              <w:jc w:val="center"/>
              <w:rPr>
                <w:bCs/>
              </w:rPr>
            </w:pPr>
            <w:r w:rsidRPr="00625EAC">
              <w:rPr>
                <w:bCs/>
              </w:rPr>
              <w:t>(0.0</w:t>
            </w:r>
            <w:r w:rsidR="006B68CE">
              <w:rPr>
                <w:bCs/>
              </w:rPr>
              <w:t>11</w:t>
            </w:r>
            <w:r w:rsidRPr="00625EAC">
              <w:rPr>
                <w:bCs/>
              </w:rPr>
              <w:t>)</w:t>
            </w:r>
            <w:r w:rsidR="006B68CE">
              <w:rPr>
                <w:bCs/>
              </w:rPr>
              <w:t>**</w:t>
            </w:r>
          </w:p>
        </w:tc>
        <w:tc>
          <w:tcPr>
            <w:tcW w:w="1297" w:type="dxa"/>
            <w:tcBorders>
              <w:top w:val="single" w:sz="4" w:space="0" w:color="auto"/>
            </w:tcBorders>
            <w:shd w:val="clear" w:color="auto" w:fill="auto"/>
          </w:tcPr>
          <w:p w:rsidR="008143F4" w:rsidRPr="00625EAC" w:rsidRDefault="008143F4" w:rsidP="008143F4">
            <w:pPr>
              <w:jc w:val="center"/>
              <w:rPr>
                <w:bCs/>
              </w:rPr>
            </w:pPr>
            <w:r w:rsidRPr="00625EAC">
              <w:rPr>
                <w:bCs/>
              </w:rPr>
              <w:t>0.00</w:t>
            </w:r>
            <w:r>
              <w:rPr>
                <w:bCs/>
              </w:rPr>
              <w:t>48</w:t>
            </w:r>
          </w:p>
          <w:p w:rsidR="008143F4" w:rsidRPr="00625EAC" w:rsidRDefault="008143F4" w:rsidP="006B68CE">
            <w:pPr>
              <w:jc w:val="center"/>
              <w:rPr>
                <w:bCs/>
              </w:rPr>
            </w:pPr>
            <w:r w:rsidRPr="00625EAC">
              <w:rPr>
                <w:bCs/>
              </w:rPr>
              <w:t>(0.</w:t>
            </w:r>
            <w:r w:rsidR="006B68CE">
              <w:rPr>
                <w:bCs/>
              </w:rPr>
              <w:t>34</w:t>
            </w:r>
            <w:r w:rsidRPr="00625EAC">
              <w:rPr>
                <w:bCs/>
              </w:rPr>
              <w:t>)</w:t>
            </w:r>
          </w:p>
        </w:tc>
        <w:tc>
          <w:tcPr>
            <w:tcW w:w="1323" w:type="dxa"/>
            <w:tcBorders>
              <w:top w:val="single" w:sz="4" w:space="0" w:color="auto"/>
            </w:tcBorders>
            <w:shd w:val="clear" w:color="auto" w:fill="auto"/>
          </w:tcPr>
          <w:p w:rsidR="008143F4" w:rsidRPr="00625EAC" w:rsidRDefault="008143F4" w:rsidP="0099544E">
            <w:pPr>
              <w:jc w:val="center"/>
              <w:rPr>
                <w:bCs/>
              </w:rPr>
            </w:pPr>
            <w:r>
              <w:rPr>
                <w:bCs/>
              </w:rPr>
              <w:t>-</w:t>
            </w:r>
            <w:r w:rsidRPr="00625EAC">
              <w:rPr>
                <w:bCs/>
              </w:rPr>
              <w:t>0.00</w:t>
            </w:r>
            <w:r>
              <w:rPr>
                <w:bCs/>
              </w:rPr>
              <w:t>35</w:t>
            </w:r>
          </w:p>
          <w:p w:rsidR="008143F4" w:rsidRPr="00625EAC" w:rsidRDefault="008143F4" w:rsidP="006B68CE">
            <w:pPr>
              <w:jc w:val="center"/>
              <w:rPr>
                <w:bCs/>
              </w:rPr>
            </w:pPr>
            <w:r w:rsidRPr="00625EAC">
              <w:rPr>
                <w:bCs/>
              </w:rPr>
              <w:t>(0.</w:t>
            </w:r>
            <w:r w:rsidR="006B68CE">
              <w:rPr>
                <w:bCs/>
              </w:rPr>
              <w:t>43</w:t>
            </w:r>
            <w:r w:rsidRPr="00625EAC">
              <w:rPr>
                <w:bCs/>
              </w:rPr>
              <w:t>)</w:t>
            </w:r>
          </w:p>
        </w:tc>
      </w:tr>
      <w:tr w:rsidR="008143F4" w:rsidRPr="00625EAC" w:rsidTr="00A33BB9">
        <w:trPr>
          <w:trHeight w:val="576"/>
          <w:jc w:val="center"/>
        </w:trPr>
        <w:tc>
          <w:tcPr>
            <w:tcW w:w="1043" w:type="dxa"/>
            <w:shd w:val="clear" w:color="auto" w:fill="auto"/>
            <w:vAlign w:val="center"/>
          </w:tcPr>
          <w:p w:rsidR="008143F4" w:rsidRPr="00625EAC" w:rsidRDefault="008143F4" w:rsidP="003A278B">
            <w:pPr>
              <w:jc w:val="center"/>
            </w:pPr>
            <w:r w:rsidRPr="00625EAC">
              <w:t xml:space="preserve">Small </w:t>
            </w:r>
          </w:p>
        </w:tc>
        <w:tc>
          <w:tcPr>
            <w:tcW w:w="1164" w:type="dxa"/>
            <w:gridSpan w:val="2"/>
            <w:shd w:val="clear" w:color="auto" w:fill="auto"/>
            <w:vAlign w:val="center"/>
          </w:tcPr>
          <w:p w:rsidR="008143F4" w:rsidRDefault="008143F4" w:rsidP="00610F56"/>
          <w:p w:rsidR="008143F4" w:rsidRPr="00625EAC" w:rsidRDefault="008143F4" w:rsidP="00625EAC">
            <w:pPr>
              <w:jc w:val="center"/>
            </w:pPr>
            <w:r w:rsidRPr="00625EAC">
              <w:t>0.0</w:t>
            </w:r>
            <w:r>
              <w:t>21</w:t>
            </w:r>
          </w:p>
          <w:p w:rsidR="008143F4" w:rsidRPr="00625EAC" w:rsidRDefault="008143F4" w:rsidP="006B68CE">
            <w:pPr>
              <w:jc w:val="center"/>
            </w:pPr>
            <w:r w:rsidRPr="00625EAC">
              <w:t>(0.</w:t>
            </w:r>
            <w:r w:rsidR="006B68CE">
              <w:t>000</w:t>
            </w:r>
            <w:r w:rsidRPr="00625EAC">
              <w:t>)</w:t>
            </w:r>
            <w:r w:rsidR="006B68CE">
              <w:t>*</w:t>
            </w:r>
          </w:p>
        </w:tc>
        <w:tc>
          <w:tcPr>
            <w:tcW w:w="1790" w:type="dxa"/>
            <w:shd w:val="clear" w:color="auto" w:fill="auto"/>
            <w:vAlign w:val="center"/>
          </w:tcPr>
          <w:p w:rsidR="008143F4" w:rsidRDefault="008143F4" w:rsidP="00625EAC">
            <w:pPr>
              <w:jc w:val="center"/>
            </w:pPr>
          </w:p>
          <w:p w:rsidR="008143F4" w:rsidRPr="00625EAC" w:rsidRDefault="008143F4" w:rsidP="00625EAC">
            <w:pPr>
              <w:jc w:val="center"/>
            </w:pPr>
            <w:r w:rsidRPr="00625EAC">
              <w:t>-0.00</w:t>
            </w:r>
            <w:r>
              <w:t>77</w:t>
            </w:r>
          </w:p>
          <w:p w:rsidR="008143F4" w:rsidRPr="00625EAC" w:rsidRDefault="008143F4" w:rsidP="006B68CE">
            <w:pPr>
              <w:jc w:val="center"/>
            </w:pPr>
            <w:r w:rsidRPr="00625EAC">
              <w:t>(0.</w:t>
            </w:r>
            <w:r w:rsidR="006B68CE">
              <w:t>17</w:t>
            </w:r>
            <w:r w:rsidRPr="00625EAC">
              <w:t>)</w:t>
            </w:r>
          </w:p>
        </w:tc>
        <w:tc>
          <w:tcPr>
            <w:tcW w:w="1156" w:type="dxa"/>
            <w:shd w:val="clear" w:color="auto" w:fill="auto"/>
            <w:vAlign w:val="center"/>
          </w:tcPr>
          <w:p w:rsidR="008143F4" w:rsidRDefault="008143F4" w:rsidP="00625EAC">
            <w:pPr>
              <w:jc w:val="center"/>
            </w:pPr>
          </w:p>
          <w:p w:rsidR="008143F4" w:rsidRPr="00625EAC" w:rsidRDefault="008143F4" w:rsidP="00625EAC">
            <w:pPr>
              <w:jc w:val="center"/>
            </w:pPr>
            <w:r w:rsidRPr="00625EAC">
              <w:t>-0.0</w:t>
            </w:r>
            <w:r>
              <w:t>17</w:t>
            </w:r>
          </w:p>
          <w:p w:rsidR="008143F4" w:rsidRPr="00625EAC" w:rsidRDefault="008143F4" w:rsidP="006B68CE">
            <w:pPr>
              <w:jc w:val="center"/>
            </w:pPr>
            <w:r w:rsidRPr="00625EAC">
              <w:t>(0.</w:t>
            </w:r>
            <w:r>
              <w:t>00</w:t>
            </w:r>
            <w:r w:rsidR="006B68CE">
              <w:t>3</w:t>
            </w:r>
            <w:r w:rsidRPr="00625EAC">
              <w:t>)</w:t>
            </w:r>
            <w:r w:rsidR="006B68CE">
              <w:t>*</w:t>
            </w:r>
          </w:p>
        </w:tc>
        <w:tc>
          <w:tcPr>
            <w:tcW w:w="1443" w:type="dxa"/>
            <w:shd w:val="clear" w:color="auto" w:fill="auto"/>
            <w:vAlign w:val="center"/>
          </w:tcPr>
          <w:p w:rsidR="008143F4" w:rsidRDefault="008143F4" w:rsidP="0099544E">
            <w:pPr>
              <w:jc w:val="center"/>
            </w:pPr>
          </w:p>
          <w:p w:rsidR="008143F4" w:rsidRPr="00625EAC" w:rsidRDefault="008143F4" w:rsidP="0099544E">
            <w:pPr>
              <w:jc w:val="center"/>
              <w:rPr>
                <w:bCs/>
              </w:rPr>
            </w:pPr>
            <w:r w:rsidRPr="00625EAC">
              <w:rPr>
                <w:bCs/>
              </w:rPr>
              <w:t>0.0</w:t>
            </w:r>
            <w:r>
              <w:rPr>
                <w:bCs/>
              </w:rPr>
              <w:t>17</w:t>
            </w:r>
          </w:p>
          <w:p w:rsidR="008143F4" w:rsidRPr="00625EAC" w:rsidRDefault="008143F4" w:rsidP="0099544E">
            <w:pPr>
              <w:jc w:val="center"/>
            </w:pPr>
            <w:r w:rsidRPr="00625EAC">
              <w:rPr>
                <w:bCs/>
              </w:rPr>
              <w:t>(0.0</w:t>
            </w:r>
            <w:r w:rsidR="006B68CE">
              <w:rPr>
                <w:bCs/>
              </w:rPr>
              <w:t>11</w:t>
            </w:r>
            <w:r w:rsidRPr="00625EAC">
              <w:rPr>
                <w:bCs/>
              </w:rPr>
              <w:t>)</w:t>
            </w:r>
            <w:r w:rsidR="006B68CE">
              <w:rPr>
                <w:bCs/>
              </w:rPr>
              <w:t>**</w:t>
            </w:r>
          </w:p>
        </w:tc>
        <w:tc>
          <w:tcPr>
            <w:tcW w:w="1297" w:type="dxa"/>
            <w:shd w:val="clear" w:color="auto" w:fill="auto"/>
          </w:tcPr>
          <w:p w:rsidR="008143F4" w:rsidRDefault="008143F4" w:rsidP="00515E25">
            <w:pPr>
              <w:jc w:val="center"/>
            </w:pPr>
          </w:p>
          <w:p w:rsidR="008143F4" w:rsidRPr="00625EAC" w:rsidRDefault="008143F4" w:rsidP="008143F4">
            <w:pPr>
              <w:jc w:val="center"/>
              <w:rPr>
                <w:bCs/>
              </w:rPr>
            </w:pPr>
            <w:r>
              <w:rPr>
                <w:bCs/>
              </w:rPr>
              <w:t>0.017</w:t>
            </w:r>
          </w:p>
          <w:p w:rsidR="008143F4" w:rsidRPr="008143F4" w:rsidRDefault="008143F4" w:rsidP="006B68CE">
            <w:pPr>
              <w:jc w:val="center"/>
              <w:rPr>
                <w:bCs/>
              </w:rPr>
            </w:pPr>
            <w:r w:rsidRPr="00625EAC">
              <w:rPr>
                <w:bCs/>
              </w:rPr>
              <w:t>(0.0</w:t>
            </w:r>
            <w:r w:rsidR="006B68CE">
              <w:rPr>
                <w:bCs/>
              </w:rPr>
              <w:t>18</w:t>
            </w:r>
            <w:r w:rsidRPr="00625EAC">
              <w:rPr>
                <w:bCs/>
              </w:rPr>
              <w:t>)</w:t>
            </w:r>
            <w:r w:rsidR="006B68CE">
              <w:rPr>
                <w:bCs/>
              </w:rPr>
              <w:t>**</w:t>
            </w:r>
          </w:p>
        </w:tc>
        <w:tc>
          <w:tcPr>
            <w:tcW w:w="1323" w:type="dxa"/>
            <w:shd w:val="clear" w:color="auto" w:fill="auto"/>
          </w:tcPr>
          <w:p w:rsidR="008143F4" w:rsidRDefault="008143F4" w:rsidP="0099544E">
            <w:pPr>
              <w:jc w:val="center"/>
            </w:pPr>
          </w:p>
          <w:p w:rsidR="008143F4" w:rsidRPr="00625EAC" w:rsidRDefault="008143F4" w:rsidP="0099544E">
            <w:pPr>
              <w:jc w:val="center"/>
              <w:rPr>
                <w:bCs/>
              </w:rPr>
            </w:pPr>
            <w:r>
              <w:rPr>
                <w:bCs/>
              </w:rPr>
              <w:t>-</w:t>
            </w:r>
            <w:r w:rsidRPr="00625EAC">
              <w:rPr>
                <w:bCs/>
              </w:rPr>
              <w:t>0.00</w:t>
            </w:r>
            <w:r>
              <w:rPr>
                <w:bCs/>
              </w:rPr>
              <w:t xml:space="preserve">63 </w:t>
            </w:r>
          </w:p>
          <w:p w:rsidR="008143F4" w:rsidRPr="00625EAC" w:rsidRDefault="008143F4" w:rsidP="006B68CE">
            <w:pPr>
              <w:jc w:val="center"/>
            </w:pPr>
            <w:r w:rsidRPr="00625EAC">
              <w:rPr>
                <w:bCs/>
              </w:rPr>
              <w:t>(0.</w:t>
            </w:r>
            <w:r w:rsidR="006B68CE">
              <w:rPr>
                <w:bCs/>
              </w:rPr>
              <w:t>27</w:t>
            </w:r>
            <w:r w:rsidRPr="00625EAC">
              <w:rPr>
                <w:bCs/>
              </w:rPr>
              <w:t>)</w:t>
            </w:r>
          </w:p>
        </w:tc>
      </w:tr>
      <w:tr w:rsidR="008143F4" w:rsidRPr="00625EAC" w:rsidTr="00A33BB9">
        <w:trPr>
          <w:trHeight w:val="576"/>
          <w:jc w:val="center"/>
        </w:trPr>
        <w:tc>
          <w:tcPr>
            <w:tcW w:w="1043" w:type="dxa"/>
            <w:shd w:val="clear" w:color="auto" w:fill="auto"/>
            <w:vAlign w:val="center"/>
          </w:tcPr>
          <w:p w:rsidR="008143F4" w:rsidRPr="00625EAC" w:rsidRDefault="008143F4" w:rsidP="005E13E0">
            <w:pPr>
              <w:jc w:val="center"/>
            </w:pPr>
            <w:r w:rsidRPr="00625EAC">
              <w:t>C</w:t>
            </w:r>
            <w:r w:rsidR="005E13E0">
              <w:t>orp</w:t>
            </w:r>
          </w:p>
        </w:tc>
        <w:tc>
          <w:tcPr>
            <w:tcW w:w="1164" w:type="dxa"/>
            <w:gridSpan w:val="2"/>
            <w:shd w:val="clear" w:color="auto" w:fill="auto"/>
            <w:vAlign w:val="center"/>
          </w:tcPr>
          <w:p w:rsidR="008143F4" w:rsidRDefault="008143F4" w:rsidP="00625EAC">
            <w:pPr>
              <w:jc w:val="center"/>
            </w:pPr>
          </w:p>
          <w:p w:rsidR="008143F4" w:rsidRPr="00625EAC" w:rsidRDefault="008143F4" w:rsidP="00625EAC">
            <w:pPr>
              <w:jc w:val="center"/>
            </w:pPr>
            <w:r w:rsidRPr="00625EAC">
              <w:t>0.00</w:t>
            </w:r>
            <w:r>
              <w:t>27</w:t>
            </w:r>
          </w:p>
          <w:p w:rsidR="008143F4" w:rsidRPr="00625EAC" w:rsidRDefault="008143F4" w:rsidP="006B68CE">
            <w:pPr>
              <w:jc w:val="center"/>
            </w:pPr>
            <w:r w:rsidRPr="00625EAC">
              <w:t>(0.</w:t>
            </w:r>
            <w:r w:rsidR="006B68CE">
              <w:t>297</w:t>
            </w:r>
            <w:r w:rsidRPr="00625EAC">
              <w:t>)</w:t>
            </w:r>
          </w:p>
        </w:tc>
        <w:tc>
          <w:tcPr>
            <w:tcW w:w="1790" w:type="dxa"/>
            <w:shd w:val="clear" w:color="auto" w:fill="auto"/>
            <w:vAlign w:val="center"/>
          </w:tcPr>
          <w:p w:rsidR="008143F4" w:rsidRDefault="008143F4" w:rsidP="00625EAC">
            <w:pPr>
              <w:jc w:val="center"/>
            </w:pPr>
          </w:p>
          <w:p w:rsidR="008143F4" w:rsidRDefault="008143F4" w:rsidP="00625EAC">
            <w:pPr>
              <w:jc w:val="center"/>
            </w:pPr>
            <w:r w:rsidRPr="00625EAC">
              <w:t>0.00</w:t>
            </w:r>
            <w:r>
              <w:t>33</w:t>
            </w:r>
          </w:p>
          <w:p w:rsidR="008143F4" w:rsidRPr="00625EAC" w:rsidRDefault="008143F4" w:rsidP="006B68CE">
            <w:pPr>
              <w:jc w:val="center"/>
            </w:pPr>
            <w:r w:rsidRPr="00625EAC">
              <w:t>(0</w:t>
            </w:r>
            <w:r>
              <w:t>.</w:t>
            </w:r>
            <w:r w:rsidR="006B68CE">
              <w:t>157</w:t>
            </w:r>
            <w:r w:rsidRPr="00625EAC">
              <w:t>)</w:t>
            </w:r>
          </w:p>
        </w:tc>
        <w:tc>
          <w:tcPr>
            <w:tcW w:w="1156" w:type="dxa"/>
            <w:shd w:val="clear" w:color="auto" w:fill="auto"/>
            <w:vAlign w:val="center"/>
          </w:tcPr>
          <w:p w:rsidR="008143F4" w:rsidRDefault="008143F4" w:rsidP="00625EAC">
            <w:pPr>
              <w:jc w:val="center"/>
            </w:pPr>
          </w:p>
          <w:p w:rsidR="008143F4" w:rsidRPr="00625EAC" w:rsidRDefault="008143F4" w:rsidP="006163EF">
            <w:r w:rsidRPr="00625EAC">
              <w:t>0.004</w:t>
            </w:r>
            <w:r>
              <w:t>9</w:t>
            </w:r>
          </w:p>
          <w:p w:rsidR="008143F4" w:rsidRPr="00625EAC" w:rsidRDefault="008143F4" w:rsidP="006B68CE">
            <w:pPr>
              <w:jc w:val="center"/>
            </w:pPr>
            <w:r w:rsidRPr="00625EAC">
              <w:t>(0.0</w:t>
            </w:r>
            <w:r w:rsidR="006B68CE">
              <w:t>45</w:t>
            </w:r>
            <w:r w:rsidRPr="00625EAC">
              <w:t>)</w:t>
            </w:r>
            <w:r w:rsidR="00414C4B">
              <w:t>**</w:t>
            </w:r>
          </w:p>
        </w:tc>
        <w:tc>
          <w:tcPr>
            <w:tcW w:w="1443" w:type="dxa"/>
            <w:shd w:val="clear" w:color="auto" w:fill="auto"/>
            <w:vAlign w:val="center"/>
          </w:tcPr>
          <w:p w:rsidR="008143F4" w:rsidRDefault="008143F4" w:rsidP="0099544E">
            <w:pPr>
              <w:jc w:val="center"/>
              <w:rPr>
                <w:bCs/>
              </w:rPr>
            </w:pPr>
          </w:p>
          <w:p w:rsidR="008143F4" w:rsidRPr="00625EAC" w:rsidRDefault="008143F4" w:rsidP="0099544E">
            <w:pPr>
              <w:jc w:val="center"/>
              <w:rPr>
                <w:bCs/>
              </w:rPr>
            </w:pPr>
            <w:r>
              <w:rPr>
                <w:bCs/>
              </w:rPr>
              <w:t>-</w:t>
            </w:r>
            <w:r w:rsidRPr="00625EAC">
              <w:rPr>
                <w:bCs/>
              </w:rPr>
              <w:t>0.0</w:t>
            </w:r>
            <w:r>
              <w:rPr>
                <w:bCs/>
              </w:rPr>
              <w:t>023</w:t>
            </w:r>
          </w:p>
          <w:p w:rsidR="008143F4" w:rsidRPr="00625EAC" w:rsidRDefault="008143F4" w:rsidP="006B68CE">
            <w:pPr>
              <w:jc w:val="center"/>
            </w:pPr>
            <w:r w:rsidRPr="00625EAC">
              <w:rPr>
                <w:bCs/>
              </w:rPr>
              <w:t>(0.</w:t>
            </w:r>
            <w:r w:rsidR="006B68CE">
              <w:rPr>
                <w:bCs/>
              </w:rPr>
              <w:t>359</w:t>
            </w:r>
            <w:r w:rsidRPr="00625EAC">
              <w:rPr>
                <w:bCs/>
              </w:rPr>
              <w:t>)</w:t>
            </w:r>
          </w:p>
        </w:tc>
        <w:tc>
          <w:tcPr>
            <w:tcW w:w="1297" w:type="dxa"/>
            <w:shd w:val="clear" w:color="auto" w:fill="auto"/>
          </w:tcPr>
          <w:p w:rsidR="008143F4" w:rsidRDefault="008143F4" w:rsidP="00515E25">
            <w:pPr>
              <w:jc w:val="center"/>
              <w:rPr>
                <w:bCs/>
              </w:rPr>
            </w:pPr>
          </w:p>
          <w:p w:rsidR="008143F4" w:rsidRPr="00625EAC" w:rsidRDefault="008143F4" w:rsidP="008143F4">
            <w:pPr>
              <w:jc w:val="center"/>
              <w:rPr>
                <w:bCs/>
              </w:rPr>
            </w:pPr>
            <w:r>
              <w:rPr>
                <w:bCs/>
              </w:rPr>
              <w:t>-</w:t>
            </w:r>
            <w:r w:rsidRPr="00625EAC">
              <w:rPr>
                <w:bCs/>
              </w:rPr>
              <w:t>0.00</w:t>
            </w:r>
            <w:r>
              <w:rPr>
                <w:bCs/>
              </w:rPr>
              <w:t>15</w:t>
            </w:r>
          </w:p>
          <w:p w:rsidR="008143F4" w:rsidRPr="00515E25" w:rsidRDefault="008143F4" w:rsidP="006B68CE">
            <w:pPr>
              <w:jc w:val="center"/>
              <w:rPr>
                <w:bCs/>
              </w:rPr>
            </w:pPr>
            <w:r w:rsidRPr="00625EAC">
              <w:rPr>
                <w:bCs/>
              </w:rPr>
              <w:t>(0.</w:t>
            </w:r>
            <w:r w:rsidR="006B68CE">
              <w:rPr>
                <w:bCs/>
              </w:rPr>
              <w:t>605</w:t>
            </w:r>
            <w:r w:rsidRPr="00625EAC">
              <w:rPr>
                <w:bCs/>
              </w:rPr>
              <w:t>)</w:t>
            </w:r>
          </w:p>
        </w:tc>
        <w:tc>
          <w:tcPr>
            <w:tcW w:w="1323" w:type="dxa"/>
            <w:shd w:val="clear" w:color="auto" w:fill="auto"/>
          </w:tcPr>
          <w:p w:rsidR="008143F4" w:rsidRDefault="008143F4" w:rsidP="0099544E">
            <w:pPr>
              <w:jc w:val="center"/>
            </w:pPr>
          </w:p>
          <w:p w:rsidR="008143F4" w:rsidRPr="00625EAC" w:rsidRDefault="008143F4" w:rsidP="0099544E">
            <w:pPr>
              <w:jc w:val="center"/>
              <w:rPr>
                <w:bCs/>
              </w:rPr>
            </w:pPr>
            <w:r>
              <w:rPr>
                <w:bCs/>
              </w:rPr>
              <w:t>-</w:t>
            </w:r>
            <w:r w:rsidRPr="00625EAC">
              <w:rPr>
                <w:bCs/>
              </w:rPr>
              <w:t>0.00</w:t>
            </w:r>
            <w:r>
              <w:rPr>
                <w:bCs/>
              </w:rPr>
              <w:t>18</w:t>
            </w:r>
          </w:p>
          <w:p w:rsidR="008143F4" w:rsidRPr="00515E25" w:rsidRDefault="008143F4" w:rsidP="00414C4B">
            <w:pPr>
              <w:jc w:val="center"/>
              <w:rPr>
                <w:bCs/>
              </w:rPr>
            </w:pPr>
            <w:r w:rsidRPr="00625EAC">
              <w:rPr>
                <w:bCs/>
              </w:rPr>
              <w:t>(0.</w:t>
            </w:r>
            <w:r w:rsidR="00414C4B">
              <w:rPr>
                <w:bCs/>
              </w:rPr>
              <w:t>523</w:t>
            </w:r>
            <w:r w:rsidRPr="00625EAC">
              <w:rPr>
                <w:bCs/>
              </w:rPr>
              <w:t>)</w:t>
            </w:r>
          </w:p>
        </w:tc>
      </w:tr>
      <w:tr w:rsidR="008143F4" w:rsidRPr="00625EAC" w:rsidTr="00A33BB9">
        <w:trPr>
          <w:trHeight w:val="576"/>
          <w:jc w:val="center"/>
        </w:trPr>
        <w:tc>
          <w:tcPr>
            <w:tcW w:w="1043" w:type="dxa"/>
            <w:tcBorders>
              <w:bottom w:val="nil"/>
            </w:tcBorders>
            <w:shd w:val="clear" w:color="auto" w:fill="auto"/>
            <w:vAlign w:val="center"/>
          </w:tcPr>
          <w:p w:rsidR="008143F4" w:rsidRPr="00625EAC" w:rsidRDefault="008143F4" w:rsidP="00625EAC">
            <w:pPr>
              <w:jc w:val="center"/>
            </w:pPr>
            <w:r w:rsidRPr="00625EAC">
              <w:t>T-Bill</w:t>
            </w:r>
          </w:p>
        </w:tc>
        <w:tc>
          <w:tcPr>
            <w:tcW w:w="1164" w:type="dxa"/>
            <w:gridSpan w:val="2"/>
            <w:tcBorders>
              <w:bottom w:val="nil"/>
            </w:tcBorders>
            <w:shd w:val="clear" w:color="auto" w:fill="auto"/>
            <w:vAlign w:val="center"/>
          </w:tcPr>
          <w:p w:rsidR="008143F4" w:rsidRDefault="008143F4" w:rsidP="00625EAC">
            <w:pPr>
              <w:jc w:val="center"/>
            </w:pPr>
          </w:p>
          <w:p w:rsidR="008143F4" w:rsidRPr="00625EAC" w:rsidRDefault="008143F4" w:rsidP="00625EAC">
            <w:pPr>
              <w:jc w:val="center"/>
            </w:pPr>
            <w:r w:rsidRPr="00625EAC">
              <w:t>0.003</w:t>
            </w:r>
            <w:r>
              <w:t>8</w:t>
            </w:r>
          </w:p>
          <w:p w:rsidR="008143F4" w:rsidRPr="00625EAC" w:rsidRDefault="008143F4" w:rsidP="00625EAC">
            <w:pPr>
              <w:jc w:val="center"/>
            </w:pPr>
            <w:r w:rsidRPr="00625EAC">
              <w:t>(0.00</w:t>
            </w:r>
            <w:r w:rsidR="00414C4B">
              <w:t>0</w:t>
            </w:r>
            <w:r w:rsidRPr="00625EAC">
              <w:t>)</w:t>
            </w:r>
            <w:r w:rsidR="00414C4B">
              <w:t>*</w:t>
            </w:r>
          </w:p>
        </w:tc>
        <w:tc>
          <w:tcPr>
            <w:tcW w:w="1790" w:type="dxa"/>
            <w:tcBorders>
              <w:bottom w:val="nil"/>
            </w:tcBorders>
            <w:shd w:val="clear" w:color="auto" w:fill="auto"/>
            <w:vAlign w:val="center"/>
          </w:tcPr>
          <w:p w:rsidR="008143F4" w:rsidRDefault="008143F4" w:rsidP="00625EAC">
            <w:pPr>
              <w:jc w:val="center"/>
            </w:pPr>
          </w:p>
          <w:p w:rsidR="008143F4" w:rsidRPr="00625EAC" w:rsidRDefault="008143F4" w:rsidP="00625EAC">
            <w:pPr>
              <w:jc w:val="center"/>
            </w:pPr>
            <w:r>
              <w:t>-</w:t>
            </w:r>
            <w:r w:rsidRPr="00625EAC">
              <w:t>0.00</w:t>
            </w:r>
            <w:r>
              <w:t xml:space="preserve">031 </w:t>
            </w:r>
          </w:p>
          <w:p w:rsidR="008143F4" w:rsidRPr="00625EAC" w:rsidRDefault="008143F4" w:rsidP="00414C4B">
            <w:pPr>
              <w:jc w:val="center"/>
            </w:pPr>
            <w:r w:rsidRPr="00625EAC">
              <w:t>(0.</w:t>
            </w:r>
            <w:r w:rsidR="00414C4B">
              <w:t>433</w:t>
            </w:r>
            <w:r w:rsidRPr="00625EAC">
              <w:t>)</w:t>
            </w:r>
          </w:p>
        </w:tc>
        <w:tc>
          <w:tcPr>
            <w:tcW w:w="1156" w:type="dxa"/>
            <w:tcBorders>
              <w:bottom w:val="nil"/>
            </w:tcBorders>
            <w:shd w:val="clear" w:color="auto" w:fill="auto"/>
            <w:vAlign w:val="center"/>
          </w:tcPr>
          <w:p w:rsidR="008143F4" w:rsidRDefault="008143F4" w:rsidP="00625EAC">
            <w:pPr>
              <w:jc w:val="center"/>
            </w:pPr>
          </w:p>
          <w:p w:rsidR="008143F4" w:rsidRPr="00625EAC" w:rsidRDefault="008143F4" w:rsidP="00625EAC">
            <w:pPr>
              <w:jc w:val="center"/>
            </w:pPr>
            <w:r w:rsidRPr="00625EAC">
              <w:t>0.00</w:t>
            </w:r>
            <w:r>
              <w:t>17</w:t>
            </w:r>
            <w:r w:rsidRPr="00625EAC">
              <w:t xml:space="preserve"> </w:t>
            </w:r>
          </w:p>
          <w:p w:rsidR="008143F4" w:rsidRPr="00625EAC" w:rsidRDefault="008143F4" w:rsidP="00414C4B">
            <w:pPr>
              <w:jc w:val="center"/>
            </w:pPr>
            <w:r w:rsidRPr="00625EAC">
              <w:t>(0.00</w:t>
            </w:r>
            <w:r w:rsidR="00414C4B">
              <w:t>0</w:t>
            </w:r>
            <w:r w:rsidRPr="00625EAC">
              <w:t>)</w:t>
            </w:r>
            <w:r w:rsidR="00414C4B">
              <w:t>*</w:t>
            </w:r>
          </w:p>
        </w:tc>
        <w:tc>
          <w:tcPr>
            <w:tcW w:w="1443" w:type="dxa"/>
            <w:tcBorders>
              <w:bottom w:val="nil"/>
            </w:tcBorders>
            <w:shd w:val="clear" w:color="auto" w:fill="auto"/>
            <w:vAlign w:val="center"/>
          </w:tcPr>
          <w:p w:rsidR="008143F4" w:rsidRDefault="008143F4" w:rsidP="0099544E">
            <w:pPr>
              <w:jc w:val="center"/>
              <w:rPr>
                <w:bCs/>
              </w:rPr>
            </w:pPr>
          </w:p>
          <w:p w:rsidR="008143F4" w:rsidRPr="00625EAC" w:rsidRDefault="008143F4" w:rsidP="0099544E">
            <w:pPr>
              <w:jc w:val="center"/>
              <w:rPr>
                <w:bCs/>
              </w:rPr>
            </w:pPr>
            <w:r w:rsidRPr="00625EAC">
              <w:rPr>
                <w:bCs/>
              </w:rPr>
              <w:t>0.0</w:t>
            </w:r>
            <w:r>
              <w:rPr>
                <w:bCs/>
              </w:rPr>
              <w:t>001</w:t>
            </w:r>
          </w:p>
          <w:p w:rsidR="008143F4" w:rsidRPr="00625EAC" w:rsidRDefault="008143F4" w:rsidP="00414C4B">
            <w:pPr>
              <w:jc w:val="center"/>
            </w:pPr>
            <w:r w:rsidRPr="00625EAC">
              <w:rPr>
                <w:bCs/>
              </w:rPr>
              <w:t>(0.</w:t>
            </w:r>
            <w:r w:rsidR="00414C4B">
              <w:rPr>
                <w:bCs/>
              </w:rPr>
              <w:t>781</w:t>
            </w:r>
            <w:r w:rsidRPr="00625EAC">
              <w:rPr>
                <w:bCs/>
              </w:rPr>
              <w:t>)</w:t>
            </w:r>
          </w:p>
        </w:tc>
        <w:tc>
          <w:tcPr>
            <w:tcW w:w="1297" w:type="dxa"/>
            <w:tcBorders>
              <w:bottom w:val="nil"/>
            </w:tcBorders>
            <w:shd w:val="clear" w:color="auto" w:fill="auto"/>
          </w:tcPr>
          <w:p w:rsidR="008143F4" w:rsidRDefault="008143F4" w:rsidP="00514FED">
            <w:pPr>
              <w:jc w:val="center"/>
              <w:rPr>
                <w:bCs/>
              </w:rPr>
            </w:pPr>
          </w:p>
          <w:p w:rsidR="008143F4" w:rsidRPr="00625EAC" w:rsidRDefault="008143F4" w:rsidP="008143F4">
            <w:pPr>
              <w:jc w:val="center"/>
              <w:rPr>
                <w:bCs/>
              </w:rPr>
            </w:pPr>
            <w:r>
              <w:rPr>
                <w:bCs/>
              </w:rPr>
              <w:t>-</w:t>
            </w:r>
            <w:r w:rsidRPr="00625EAC">
              <w:rPr>
                <w:bCs/>
              </w:rPr>
              <w:t>0.00</w:t>
            </w:r>
            <w:r>
              <w:rPr>
                <w:bCs/>
              </w:rPr>
              <w:t>11</w:t>
            </w:r>
          </w:p>
          <w:p w:rsidR="008143F4" w:rsidRPr="00515E25" w:rsidRDefault="008143F4" w:rsidP="00414C4B">
            <w:pPr>
              <w:jc w:val="center"/>
              <w:rPr>
                <w:bCs/>
              </w:rPr>
            </w:pPr>
            <w:r w:rsidRPr="00625EAC">
              <w:rPr>
                <w:bCs/>
              </w:rPr>
              <w:t>(0.0</w:t>
            </w:r>
            <w:r>
              <w:rPr>
                <w:bCs/>
              </w:rPr>
              <w:t>00</w:t>
            </w:r>
            <w:r w:rsidRPr="00625EAC">
              <w:rPr>
                <w:bCs/>
              </w:rPr>
              <w:t>)</w:t>
            </w:r>
            <w:r w:rsidR="00414C4B">
              <w:rPr>
                <w:bCs/>
              </w:rPr>
              <w:t>*</w:t>
            </w:r>
          </w:p>
        </w:tc>
        <w:tc>
          <w:tcPr>
            <w:tcW w:w="1323" w:type="dxa"/>
            <w:tcBorders>
              <w:bottom w:val="nil"/>
            </w:tcBorders>
            <w:shd w:val="clear" w:color="auto" w:fill="auto"/>
          </w:tcPr>
          <w:p w:rsidR="008143F4" w:rsidRDefault="008143F4" w:rsidP="0099544E">
            <w:pPr>
              <w:jc w:val="center"/>
            </w:pPr>
          </w:p>
          <w:p w:rsidR="008143F4" w:rsidRPr="00625EAC" w:rsidRDefault="008143F4" w:rsidP="0099544E">
            <w:pPr>
              <w:jc w:val="center"/>
              <w:rPr>
                <w:bCs/>
              </w:rPr>
            </w:pPr>
            <w:r w:rsidRPr="00625EAC">
              <w:rPr>
                <w:bCs/>
              </w:rPr>
              <w:t>0.00</w:t>
            </w:r>
            <w:r>
              <w:rPr>
                <w:bCs/>
              </w:rPr>
              <w:t>08</w:t>
            </w:r>
          </w:p>
          <w:p w:rsidR="008143F4" w:rsidRPr="00515E25" w:rsidRDefault="008143F4" w:rsidP="00414C4B">
            <w:pPr>
              <w:jc w:val="center"/>
              <w:rPr>
                <w:bCs/>
              </w:rPr>
            </w:pPr>
            <w:r w:rsidRPr="00625EAC">
              <w:rPr>
                <w:bCs/>
              </w:rPr>
              <w:t>(0.0</w:t>
            </w:r>
            <w:r w:rsidR="00414C4B">
              <w:rPr>
                <w:bCs/>
              </w:rPr>
              <w:t>11</w:t>
            </w:r>
            <w:r w:rsidRPr="00625EAC">
              <w:rPr>
                <w:bCs/>
              </w:rPr>
              <w:t>)</w:t>
            </w:r>
            <w:r w:rsidR="00414C4B">
              <w:rPr>
                <w:bCs/>
              </w:rPr>
              <w:t>**</w:t>
            </w:r>
          </w:p>
        </w:tc>
      </w:tr>
      <w:tr w:rsidR="008143F4" w:rsidRPr="00625EAC" w:rsidTr="00A33BB9">
        <w:trPr>
          <w:trHeight w:val="576"/>
          <w:jc w:val="center"/>
        </w:trPr>
        <w:tc>
          <w:tcPr>
            <w:tcW w:w="1043" w:type="dxa"/>
            <w:tcBorders>
              <w:top w:val="nil"/>
              <w:bottom w:val="single" w:sz="4" w:space="0" w:color="auto"/>
            </w:tcBorders>
            <w:shd w:val="clear" w:color="auto" w:fill="auto"/>
            <w:vAlign w:val="center"/>
          </w:tcPr>
          <w:p w:rsidR="008143F4" w:rsidRPr="00625EAC" w:rsidRDefault="008143F4" w:rsidP="00625EAC">
            <w:pPr>
              <w:jc w:val="center"/>
            </w:pPr>
            <w:r w:rsidRPr="00625EAC">
              <w:t>Inflation</w:t>
            </w:r>
          </w:p>
        </w:tc>
        <w:tc>
          <w:tcPr>
            <w:tcW w:w="1164" w:type="dxa"/>
            <w:gridSpan w:val="2"/>
            <w:tcBorders>
              <w:top w:val="nil"/>
              <w:bottom w:val="single" w:sz="4" w:space="0" w:color="auto"/>
            </w:tcBorders>
            <w:shd w:val="clear" w:color="auto" w:fill="auto"/>
            <w:vAlign w:val="center"/>
          </w:tcPr>
          <w:p w:rsidR="008143F4" w:rsidRDefault="008143F4" w:rsidP="00625EAC">
            <w:pPr>
              <w:jc w:val="center"/>
            </w:pPr>
          </w:p>
          <w:p w:rsidR="008143F4" w:rsidRPr="00625EAC" w:rsidRDefault="008143F4" w:rsidP="00625EAC">
            <w:pPr>
              <w:jc w:val="center"/>
            </w:pPr>
            <w:r>
              <w:t>0.00</w:t>
            </w:r>
            <w:r w:rsidR="00C41E5A">
              <w:t>37</w:t>
            </w:r>
            <w:r>
              <w:t xml:space="preserve"> </w:t>
            </w:r>
          </w:p>
          <w:p w:rsidR="008143F4" w:rsidRPr="00625EAC" w:rsidRDefault="008143F4" w:rsidP="00625EAC">
            <w:pPr>
              <w:jc w:val="center"/>
            </w:pPr>
            <w:r w:rsidRPr="00625EAC">
              <w:t>(0.00</w:t>
            </w:r>
            <w:r w:rsidR="00414C4B">
              <w:t>0</w:t>
            </w:r>
            <w:r w:rsidRPr="00625EAC">
              <w:t>)</w:t>
            </w:r>
            <w:r w:rsidR="00414C4B">
              <w:t>*</w:t>
            </w:r>
          </w:p>
        </w:tc>
        <w:tc>
          <w:tcPr>
            <w:tcW w:w="1790" w:type="dxa"/>
            <w:tcBorders>
              <w:top w:val="nil"/>
              <w:bottom w:val="single" w:sz="4" w:space="0" w:color="auto"/>
            </w:tcBorders>
            <w:shd w:val="clear" w:color="auto" w:fill="auto"/>
            <w:vAlign w:val="center"/>
          </w:tcPr>
          <w:p w:rsidR="008143F4" w:rsidRDefault="008143F4" w:rsidP="00625EAC">
            <w:pPr>
              <w:jc w:val="center"/>
            </w:pPr>
          </w:p>
          <w:p w:rsidR="008143F4" w:rsidRPr="00625EAC" w:rsidRDefault="008143F4" w:rsidP="00625EAC">
            <w:pPr>
              <w:jc w:val="center"/>
            </w:pPr>
            <w:r w:rsidRPr="00625EAC">
              <w:t>0.000</w:t>
            </w:r>
            <w:r w:rsidR="00C41E5A">
              <w:t>24</w:t>
            </w:r>
          </w:p>
          <w:p w:rsidR="008143F4" w:rsidRPr="00625EAC" w:rsidRDefault="00C41E5A" w:rsidP="00414C4B">
            <w:pPr>
              <w:jc w:val="center"/>
            </w:pPr>
            <w:r>
              <w:t>(0.</w:t>
            </w:r>
            <w:r w:rsidR="00414C4B">
              <w:t>640</w:t>
            </w:r>
            <w:r w:rsidR="008143F4" w:rsidRPr="00625EAC">
              <w:t>)</w:t>
            </w:r>
          </w:p>
        </w:tc>
        <w:tc>
          <w:tcPr>
            <w:tcW w:w="1156" w:type="dxa"/>
            <w:tcBorders>
              <w:top w:val="nil"/>
              <w:bottom w:val="single" w:sz="4" w:space="0" w:color="auto"/>
            </w:tcBorders>
            <w:shd w:val="clear" w:color="auto" w:fill="auto"/>
            <w:vAlign w:val="center"/>
          </w:tcPr>
          <w:p w:rsidR="008143F4" w:rsidRDefault="008143F4" w:rsidP="00625EAC">
            <w:pPr>
              <w:jc w:val="center"/>
            </w:pPr>
          </w:p>
          <w:p w:rsidR="008143F4" w:rsidRPr="00625EAC" w:rsidRDefault="000463CA" w:rsidP="00625EAC">
            <w:pPr>
              <w:jc w:val="center"/>
            </w:pPr>
            <w:r>
              <w:t>-</w:t>
            </w:r>
            <w:r w:rsidR="008143F4" w:rsidRPr="00625EAC">
              <w:t>0.000</w:t>
            </w:r>
            <w:r>
              <w:t>29</w:t>
            </w:r>
          </w:p>
          <w:p w:rsidR="008143F4" w:rsidRPr="00625EAC" w:rsidRDefault="000463CA" w:rsidP="00414C4B">
            <w:pPr>
              <w:jc w:val="center"/>
            </w:pPr>
            <w:r>
              <w:t>(0.</w:t>
            </w:r>
            <w:r w:rsidR="00414C4B">
              <w:t>615</w:t>
            </w:r>
            <w:r w:rsidR="008143F4" w:rsidRPr="00625EAC">
              <w:t>)</w:t>
            </w:r>
          </w:p>
        </w:tc>
        <w:tc>
          <w:tcPr>
            <w:tcW w:w="1443" w:type="dxa"/>
            <w:tcBorders>
              <w:top w:val="nil"/>
              <w:bottom w:val="single" w:sz="4" w:space="0" w:color="auto"/>
            </w:tcBorders>
            <w:shd w:val="clear" w:color="auto" w:fill="auto"/>
            <w:vAlign w:val="center"/>
          </w:tcPr>
          <w:p w:rsidR="008143F4" w:rsidRDefault="008143F4" w:rsidP="0099544E">
            <w:pPr>
              <w:jc w:val="center"/>
              <w:rPr>
                <w:bCs/>
              </w:rPr>
            </w:pPr>
          </w:p>
          <w:p w:rsidR="008143F4" w:rsidRPr="00625EAC" w:rsidRDefault="008143F4" w:rsidP="0099544E">
            <w:pPr>
              <w:jc w:val="center"/>
              <w:rPr>
                <w:bCs/>
              </w:rPr>
            </w:pPr>
            <w:r w:rsidRPr="00625EAC">
              <w:rPr>
                <w:bCs/>
              </w:rPr>
              <w:t>0.0</w:t>
            </w:r>
            <w:r w:rsidR="000463CA">
              <w:rPr>
                <w:bCs/>
              </w:rPr>
              <w:t>0038</w:t>
            </w:r>
          </w:p>
          <w:p w:rsidR="008143F4" w:rsidRPr="00625EAC" w:rsidRDefault="008143F4" w:rsidP="00414C4B">
            <w:pPr>
              <w:jc w:val="center"/>
            </w:pPr>
            <w:r w:rsidRPr="00625EAC">
              <w:rPr>
                <w:bCs/>
              </w:rPr>
              <w:t>(0.</w:t>
            </w:r>
            <w:r w:rsidR="00414C4B">
              <w:rPr>
                <w:bCs/>
              </w:rPr>
              <w:t>511</w:t>
            </w:r>
            <w:r w:rsidRPr="00625EAC">
              <w:rPr>
                <w:bCs/>
              </w:rPr>
              <w:t>)</w:t>
            </w:r>
          </w:p>
        </w:tc>
        <w:tc>
          <w:tcPr>
            <w:tcW w:w="1297" w:type="dxa"/>
            <w:tcBorders>
              <w:top w:val="nil"/>
              <w:bottom w:val="single" w:sz="4" w:space="0" w:color="auto"/>
            </w:tcBorders>
            <w:shd w:val="clear" w:color="auto" w:fill="auto"/>
          </w:tcPr>
          <w:p w:rsidR="008143F4" w:rsidRDefault="008143F4" w:rsidP="00515E25">
            <w:pPr>
              <w:jc w:val="center"/>
            </w:pPr>
          </w:p>
          <w:p w:rsidR="008143F4" w:rsidRPr="00625EAC" w:rsidRDefault="008143F4" w:rsidP="008143F4">
            <w:pPr>
              <w:jc w:val="center"/>
              <w:rPr>
                <w:bCs/>
              </w:rPr>
            </w:pPr>
            <w:r>
              <w:rPr>
                <w:bCs/>
              </w:rPr>
              <w:t>-</w:t>
            </w:r>
            <w:r w:rsidRPr="00625EAC">
              <w:rPr>
                <w:bCs/>
              </w:rPr>
              <w:t>0.00</w:t>
            </w:r>
            <w:r>
              <w:rPr>
                <w:bCs/>
              </w:rPr>
              <w:t>13</w:t>
            </w:r>
          </w:p>
          <w:p w:rsidR="008143F4" w:rsidRPr="00625EAC" w:rsidRDefault="008143F4" w:rsidP="008143F4">
            <w:pPr>
              <w:jc w:val="center"/>
            </w:pPr>
            <w:r w:rsidRPr="00625EAC">
              <w:rPr>
                <w:bCs/>
              </w:rPr>
              <w:t>(0.0</w:t>
            </w:r>
            <w:r w:rsidR="00414C4B">
              <w:rPr>
                <w:bCs/>
              </w:rPr>
              <w:t>04</w:t>
            </w:r>
            <w:r w:rsidRPr="00625EAC">
              <w:rPr>
                <w:bCs/>
              </w:rPr>
              <w:t>)</w:t>
            </w:r>
            <w:r w:rsidR="00414C4B">
              <w:rPr>
                <w:bCs/>
              </w:rPr>
              <w:t>*</w:t>
            </w:r>
          </w:p>
        </w:tc>
        <w:tc>
          <w:tcPr>
            <w:tcW w:w="1323" w:type="dxa"/>
            <w:tcBorders>
              <w:top w:val="nil"/>
              <w:bottom w:val="single" w:sz="4" w:space="0" w:color="auto"/>
            </w:tcBorders>
            <w:shd w:val="clear" w:color="auto" w:fill="auto"/>
          </w:tcPr>
          <w:p w:rsidR="008143F4" w:rsidRDefault="008143F4" w:rsidP="0099544E">
            <w:pPr>
              <w:jc w:val="center"/>
            </w:pPr>
          </w:p>
          <w:p w:rsidR="008143F4" w:rsidRPr="00625EAC" w:rsidRDefault="008143F4" w:rsidP="0099544E">
            <w:pPr>
              <w:jc w:val="center"/>
              <w:rPr>
                <w:bCs/>
              </w:rPr>
            </w:pPr>
            <w:r w:rsidRPr="00625EAC">
              <w:rPr>
                <w:bCs/>
              </w:rPr>
              <w:t>0.00</w:t>
            </w:r>
            <w:r w:rsidR="000463CA">
              <w:rPr>
                <w:bCs/>
              </w:rPr>
              <w:t>089</w:t>
            </w:r>
            <w:r w:rsidRPr="00625EAC">
              <w:rPr>
                <w:bCs/>
              </w:rPr>
              <w:t xml:space="preserve"> </w:t>
            </w:r>
          </w:p>
          <w:p w:rsidR="008143F4" w:rsidRPr="00625EAC" w:rsidRDefault="008143F4" w:rsidP="000463CA">
            <w:pPr>
              <w:jc w:val="center"/>
            </w:pPr>
            <w:r w:rsidRPr="00625EAC">
              <w:rPr>
                <w:bCs/>
              </w:rPr>
              <w:t>(0.</w:t>
            </w:r>
            <w:r w:rsidR="00414C4B">
              <w:rPr>
                <w:bCs/>
              </w:rPr>
              <w:t>035</w:t>
            </w:r>
            <w:r w:rsidRPr="00625EAC">
              <w:rPr>
                <w:bCs/>
              </w:rPr>
              <w:t>)</w:t>
            </w:r>
            <w:r w:rsidR="00414C4B">
              <w:rPr>
                <w:bCs/>
              </w:rPr>
              <w:t>**</w:t>
            </w:r>
          </w:p>
        </w:tc>
      </w:tr>
    </w:tbl>
    <w:p w:rsidR="00321F14" w:rsidRPr="00625EAC" w:rsidRDefault="00321F14" w:rsidP="00625EAC">
      <w:pPr>
        <w:jc w:val="both"/>
        <w:rPr>
          <w:sz w:val="20"/>
        </w:rPr>
      </w:pPr>
      <w:r w:rsidRPr="00625EAC">
        <w:rPr>
          <w:sz w:val="20"/>
        </w:rPr>
        <w:t xml:space="preserve">Regression results are reported as coefficients with </w:t>
      </w:r>
      <w:r w:rsidR="00C1324E" w:rsidRPr="00A66E9A">
        <w:rPr>
          <w:i/>
          <w:sz w:val="20"/>
        </w:rPr>
        <w:t>p</w:t>
      </w:r>
      <w:r w:rsidRPr="00625EAC">
        <w:rPr>
          <w:sz w:val="20"/>
        </w:rPr>
        <w:t xml:space="preserve">-values in parentheses. The regressions are estimated with mean monthly index return as the dependent variable and </w:t>
      </w:r>
      <w:r w:rsidR="00A95677">
        <w:rPr>
          <w:sz w:val="20"/>
        </w:rPr>
        <w:t>five</w:t>
      </w:r>
      <w:r w:rsidRPr="00625EAC">
        <w:rPr>
          <w:sz w:val="20"/>
        </w:rPr>
        <w:t xml:space="preserve"> qualitative variables for independent variables. The qualitative variables are defined as follows:  Republican administration=1, Democratic administration=0; gridlock present=1, gridlock absent=0; and expansive Fed policy=1, </w:t>
      </w:r>
      <w:r w:rsidR="00625EAC">
        <w:rPr>
          <w:sz w:val="20"/>
        </w:rPr>
        <w:t xml:space="preserve">non-expansive </w:t>
      </w:r>
      <w:r w:rsidRPr="00625EAC">
        <w:rPr>
          <w:sz w:val="20"/>
        </w:rPr>
        <w:t>Fed policy=0.</w:t>
      </w:r>
      <w:r w:rsidR="00625EAC">
        <w:rPr>
          <w:sz w:val="20"/>
        </w:rPr>
        <w:t xml:space="preserve"> Restrictive Fed policy =1, non-restrictive Fed policy=0, Presidential term year three =1, all other term years =0.</w:t>
      </w:r>
    </w:p>
    <w:p w:rsidR="00321F14" w:rsidRPr="00625EAC" w:rsidRDefault="00321F14" w:rsidP="00625EAC">
      <w:pPr>
        <w:jc w:val="both"/>
        <w:rPr>
          <w:sz w:val="20"/>
        </w:rPr>
      </w:pPr>
      <w:r w:rsidRPr="00625EAC">
        <w:rPr>
          <w:sz w:val="20"/>
        </w:rPr>
        <w:t>*, ** Identify statistically significant coefficients at the 1% and 5% levels, respectively.</w:t>
      </w:r>
    </w:p>
    <w:p w:rsidR="00625EAC" w:rsidRDefault="00625EAC" w:rsidP="00321F14">
      <w:pPr>
        <w:pStyle w:val="Heading4"/>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 w:val="24"/>
          <w:szCs w:val="24"/>
        </w:rPr>
      </w:pPr>
    </w:p>
    <w:p w:rsidR="008143F4" w:rsidRDefault="008143F4" w:rsidP="008143F4"/>
    <w:p w:rsidR="008143F4" w:rsidRPr="008143F4" w:rsidRDefault="008143F4" w:rsidP="008143F4">
      <w:pPr>
        <w:sectPr w:rsidR="008143F4" w:rsidRPr="008143F4" w:rsidSect="007C70B3">
          <w:endnotePr>
            <w:numFmt w:val="decimal"/>
          </w:endnotePr>
          <w:pgSz w:w="12240" w:h="15840"/>
          <w:pgMar w:top="1440" w:right="1440" w:bottom="1440" w:left="1800" w:header="1440" w:footer="720" w:gutter="0"/>
          <w:cols w:space="720"/>
          <w:noEndnote/>
        </w:sectPr>
      </w:pPr>
    </w:p>
    <w:p w:rsidR="00836670" w:rsidRPr="005607EB" w:rsidRDefault="00836670" w:rsidP="005607EB">
      <w:pPr>
        <w:pStyle w:val="Heading4"/>
        <w:widowControl/>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0" w:right="-360"/>
        <w:rPr>
          <w:sz w:val="24"/>
          <w:szCs w:val="24"/>
        </w:rPr>
      </w:pPr>
      <w:r w:rsidRPr="005607EB">
        <w:rPr>
          <w:sz w:val="24"/>
          <w:szCs w:val="24"/>
        </w:rPr>
        <w:lastRenderedPageBreak/>
        <w:t>Exhibit 3: Historical</w:t>
      </w:r>
      <w:r w:rsidR="00C54209" w:rsidRPr="005607EB">
        <w:rPr>
          <w:sz w:val="24"/>
          <w:szCs w:val="24"/>
        </w:rPr>
        <w:t xml:space="preserve"> Outcomes for the </w:t>
      </w:r>
      <w:r w:rsidR="005607EB" w:rsidRPr="005607EB">
        <w:rPr>
          <w:bCs w:val="0"/>
          <w:sz w:val="24"/>
          <w:szCs w:val="24"/>
        </w:rPr>
        <w:t>Ibbotson and Associate’s SBBI Indexes</w:t>
      </w:r>
      <w:r w:rsidR="00C54209" w:rsidRPr="005607EB">
        <w:rPr>
          <w:sz w:val="24"/>
          <w:szCs w:val="24"/>
        </w:rPr>
        <w:t xml:space="preserve">. </w:t>
      </w:r>
      <w:r w:rsidR="00C54209" w:rsidRPr="005607EB">
        <w:rPr>
          <w:sz w:val="24"/>
          <w:szCs w:val="24"/>
        </w:rPr>
        <w:br/>
      </w:r>
    </w:p>
    <w:p w:rsidR="00356B05" w:rsidRDefault="00C54209" w:rsidP="005607EB">
      <w:pPr>
        <w:pStyle w:val="Heading4"/>
        <w:widowControl/>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0" w:right="-810"/>
        <w:jc w:val="both"/>
        <w:rPr>
          <w:b w:val="0"/>
          <w:sz w:val="24"/>
          <w:szCs w:val="24"/>
        </w:rPr>
      </w:pPr>
      <w:r w:rsidRPr="00836670">
        <w:rPr>
          <w:b w:val="0"/>
          <w:sz w:val="24"/>
          <w:szCs w:val="24"/>
        </w:rPr>
        <w:t xml:space="preserve">This Table </w:t>
      </w:r>
      <w:r w:rsidR="005607EB">
        <w:rPr>
          <w:b w:val="0"/>
          <w:sz w:val="24"/>
          <w:szCs w:val="24"/>
        </w:rPr>
        <w:t>evaluates</w:t>
      </w:r>
      <w:r w:rsidRPr="00836670">
        <w:rPr>
          <w:b w:val="0"/>
          <w:sz w:val="24"/>
          <w:szCs w:val="24"/>
        </w:rPr>
        <w:t xml:space="preserve"> nominal returns during periods when the following </w:t>
      </w:r>
      <w:r w:rsidR="00836670">
        <w:rPr>
          <w:b w:val="0"/>
          <w:sz w:val="24"/>
          <w:szCs w:val="24"/>
        </w:rPr>
        <w:t xml:space="preserve">political environments (Gridlock or Harmony), Fed Policy (Restrictive or Expansive) and party in control of the Presidency have been </w:t>
      </w:r>
      <w:r w:rsidRPr="00836670">
        <w:rPr>
          <w:b w:val="0"/>
          <w:sz w:val="24"/>
          <w:szCs w:val="24"/>
        </w:rPr>
        <w:t>observed</w:t>
      </w:r>
      <w:r w:rsidR="005607EB" w:rsidRPr="005607EB">
        <w:rPr>
          <w:b w:val="0"/>
          <w:sz w:val="24"/>
          <w:szCs w:val="24"/>
        </w:rPr>
        <w:t xml:space="preserve"> </w:t>
      </w:r>
      <w:r w:rsidR="005607EB">
        <w:rPr>
          <w:b w:val="0"/>
          <w:sz w:val="24"/>
          <w:szCs w:val="24"/>
        </w:rPr>
        <w:t>and compares them against</w:t>
      </w:r>
      <w:r w:rsidR="005607EB" w:rsidRPr="00836670">
        <w:rPr>
          <w:b w:val="0"/>
          <w:sz w:val="24"/>
          <w:szCs w:val="24"/>
        </w:rPr>
        <w:t xml:space="preserve"> </w:t>
      </w:r>
      <w:r w:rsidR="00C455A8">
        <w:rPr>
          <w:b w:val="0"/>
          <w:sz w:val="24"/>
          <w:szCs w:val="24"/>
        </w:rPr>
        <w:t xml:space="preserve">the asset class </w:t>
      </w:r>
      <w:r w:rsidR="005607EB" w:rsidRPr="00836670">
        <w:rPr>
          <w:b w:val="0"/>
          <w:sz w:val="24"/>
          <w:szCs w:val="24"/>
        </w:rPr>
        <w:t>historical averages</w:t>
      </w:r>
      <w:r w:rsidRPr="00836670">
        <w:rPr>
          <w:b w:val="0"/>
          <w:sz w:val="24"/>
          <w:szCs w:val="24"/>
        </w:rPr>
        <w:t xml:space="preserve">.  </w:t>
      </w:r>
      <w:r w:rsidR="005607EB">
        <w:rPr>
          <w:b w:val="0"/>
          <w:sz w:val="24"/>
          <w:szCs w:val="24"/>
        </w:rPr>
        <w:t xml:space="preserve">The periods when returns are greater than historical averages represent an opportunity to </w:t>
      </w:r>
      <w:r w:rsidR="005A35AA">
        <w:rPr>
          <w:b w:val="0"/>
          <w:sz w:val="24"/>
          <w:szCs w:val="24"/>
        </w:rPr>
        <w:t>“</w:t>
      </w:r>
      <w:r w:rsidR="005607EB">
        <w:rPr>
          <w:b w:val="0"/>
          <w:sz w:val="24"/>
          <w:szCs w:val="24"/>
        </w:rPr>
        <w:t>overweight</w:t>
      </w:r>
      <w:r w:rsidR="005A35AA">
        <w:rPr>
          <w:b w:val="0"/>
          <w:sz w:val="24"/>
          <w:szCs w:val="24"/>
        </w:rPr>
        <w:t>”</w:t>
      </w:r>
      <w:r w:rsidR="005607EB">
        <w:rPr>
          <w:b w:val="0"/>
          <w:sz w:val="24"/>
          <w:szCs w:val="24"/>
        </w:rPr>
        <w:t xml:space="preserve"> </w:t>
      </w:r>
      <w:r w:rsidR="005A35AA">
        <w:rPr>
          <w:b w:val="0"/>
          <w:sz w:val="24"/>
          <w:szCs w:val="24"/>
        </w:rPr>
        <w:t xml:space="preserve">an investor’s portfolio in </w:t>
      </w:r>
      <w:r w:rsidR="005607EB">
        <w:rPr>
          <w:b w:val="0"/>
          <w:sz w:val="24"/>
          <w:szCs w:val="24"/>
        </w:rPr>
        <w:t xml:space="preserve">that asset class and the periods when returns are lower than historical averages represents an opportunity to </w:t>
      </w:r>
      <w:r w:rsidR="005A35AA">
        <w:rPr>
          <w:b w:val="0"/>
          <w:sz w:val="24"/>
          <w:szCs w:val="24"/>
        </w:rPr>
        <w:t>“</w:t>
      </w:r>
      <w:r w:rsidR="005607EB">
        <w:rPr>
          <w:b w:val="0"/>
          <w:sz w:val="24"/>
          <w:szCs w:val="24"/>
        </w:rPr>
        <w:t>underweight</w:t>
      </w:r>
      <w:r w:rsidR="005A35AA">
        <w:rPr>
          <w:b w:val="0"/>
          <w:sz w:val="24"/>
          <w:szCs w:val="24"/>
        </w:rPr>
        <w:t>”</w:t>
      </w:r>
      <w:r w:rsidR="005607EB">
        <w:rPr>
          <w:b w:val="0"/>
          <w:sz w:val="24"/>
          <w:szCs w:val="24"/>
        </w:rPr>
        <w:t xml:space="preserve"> </w:t>
      </w:r>
      <w:r w:rsidR="005A35AA">
        <w:rPr>
          <w:b w:val="0"/>
          <w:sz w:val="24"/>
          <w:szCs w:val="24"/>
        </w:rPr>
        <w:t xml:space="preserve">an investor’s portfolio in </w:t>
      </w:r>
      <w:r w:rsidR="005607EB">
        <w:rPr>
          <w:b w:val="0"/>
          <w:sz w:val="24"/>
          <w:szCs w:val="24"/>
        </w:rPr>
        <w:t xml:space="preserve">that asset class.  </w:t>
      </w:r>
    </w:p>
    <w:p w:rsidR="00356B05" w:rsidRDefault="00356B05" w:rsidP="005607EB">
      <w:pPr>
        <w:pStyle w:val="Heading4"/>
        <w:widowControl/>
        <w:tabs>
          <w:tab w:val="left" w:pos="-9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10"/>
        <w:jc w:val="both"/>
        <w:rPr>
          <w:b w:val="0"/>
          <w:sz w:val="24"/>
          <w:szCs w:val="24"/>
        </w:rPr>
      </w:pPr>
    </w:p>
    <w:tbl>
      <w:tblPr>
        <w:tblW w:w="10821" w:type="dxa"/>
        <w:tblInd w:w="-792" w:type="dxa"/>
        <w:tblLook w:val="04A0" w:firstRow="1" w:lastRow="0" w:firstColumn="1" w:lastColumn="0" w:noHBand="0" w:noVBand="1"/>
      </w:tblPr>
      <w:tblGrid>
        <w:gridCol w:w="1728"/>
        <w:gridCol w:w="2268"/>
        <w:gridCol w:w="1365"/>
        <w:gridCol w:w="1365"/>
        <w:gridCol w:w="1365"/>
        <w:gridCol w:w="1365"/>
        <w:gridCol w:w="1365"/>
      </w:tblGrid>
      <w:tr w:rsidR="005607EB" w:rsidTr="005607EB">
        <w:trPr>
          <w:trHeight w:val="330"/>
        </w:trPr>
        <w:tc>
          <w:tcPr>
            <w:tcW w:w="1728" w:type="dxa"/>
            <w:tcBorders>
              <w:top w:val="nil"/>
              <w:left w:val="nil"/>
              <w:bottom w:val="nil"/>
              <w:right w:val="nil"/>
            </w:tcBorders>
            <w:shd w:val="clear" w:color="auto" w:fill="auto"/>
            <w:noWrap/>
            <w:vAlign w:val="bottom"/>
            <w:hideMark/>
          </w:tcPr>
          <w:p w:rsidR="005607EB" w:rsidRDefault="005607EB">
            <w:pPr>
              <w:rPr>
                <w:color w:val="000000"/>
                <w:sz w:val="22"/>
                <w:szCs w:val="22"/>
              </w:rPr>
            </w:pPr>
          </w:p>
        </w:tc>
        <w:tc>
          <w:tcPr>
            <w:tcW w:w="2268" w:type="dxa"/>
            <w:tcBorders>
              <w:top w:val="nil"/>
              <w:left w:val="nil"/>
              <w:bottom w:val="nil"/>
              <w:right w:val="nil"/>
            </w:tcBorders>
            <w:shd w:val="clear" w:color="auto" w:fill="auto"/>
            <w:noWrap/>
            <w:vAlign w:val="bottom"/>
            <w:hideMark/>
          </w:tcPr>
          <w:p w:rsidR="005607EB" w:rsidRDefault="005607EB">
            <w:pPr>
              <w:rPr>
                <w:color w:val="000000"/>
                <w:sz w:val="22"/>
                <w:szCs w:val="22"/>
              </w:rPr>
            </w:pPr>
          </w:p>
        </w:tc>
        <w:tc>
          <w:tcPr>
            <w:tcW w:w="6825" w:type="dxa"/>
            <w:gridSpan w:val="5"/>
            <w:tcBorders>
              <w:top w:val="nil"/>
              <w:left w:val="single" w:sz="4" w:space="0" w:color="auto"/>
              <w:bottom w:val="nil"/>
              <w:right w:val="nil"/>
            </w:tcBorders>
            <w:shd w:val="clear" w:color="auto" w:fill="auto"/>
            <w:noWrap/>
            <w:vAlign w:val="bottom"/>
            <w:hideMark/>
          </w:tcPr>
          <w:p w:rsidR="005607EB" w:rsidRDefault="005607EB">
            <w:pPr>
              <w:jc w:val="center"/>
              <w:rPr>
                <w:b/>
                <w:bCs/>
                <w:color w:val="FF0000"/>
                <w:sz w:val="22"/>
                <w:szCs w:val="22"/>
              </w:rPr>
            </w:pPr>
            <w:r w:rsidRPr="005607EB">
              <w:rPr>
                <w:b/>
                <w:bCs/>
                <w:color w:val="FF0000"/>
                <w:szCs w:val="22"/>
              </w:rPr>
              <w:t>Republican President</w:t>
            </w:r>
          </w:p>
        </w:tc>
      </w:tr>
      <w:tr w:rsidR="005607EB" w:rsidTr="005607EB">
        <w:trPr>
          <w:trHeight w:val="330"/>
        </w:trPr>
        <w:tc>
          <w:tcPr>
            <w:tcW w:w="1728" w:type="dxa"/>
            <w:tcBorders>
              <w:top w:val="nil"/>
              <w:left w:val="nil"/>
              <w:bottom w:val="single" w:sz="8" w:space="0" w:color="auto"/>
              <w:right w:val="nil"/>
            </w:tcBorders>
            <w:shd w:val="clear" w:color="auto" w:fill="auto"/>
            <w:noWrap/>
            <w:vAlign w:val="bottom"/>
            <w:hideMark/>
          </w:tcPr>
          <w:p w:rsidR="005607EB" w:rsidRDefault="005607EB" w:rsidP="005607EB">
            <w:pPr>
              <w:jc w:val="center"/>
              <w:rPr>
                <w:b/>
                <w:bCs/>
                <w:color w:val="000000"/>
                <w:sz w:val="22"/>
                <w:szCs w:val="22"/>
              </w:rPr>
            </w:pPr>
            <w:r>
              <w:rPr>
                <w:b/>
                <w:bCs/>
                <w:color w:val="000000"/>
                <w:sz w:val="22"/>
                <w:szCs w:val="22"/>
              </w:rPr>
              <w:t>Monetary Policy</w:t>
            </w:r>
          </w:p>
        </w:tc>
        <w:tc>
          <w:tcPr>
            <w:tcW w:w="2268" w:type="dxa"/>
            <w:tcBorders>
              <w:top w:val="nil"/>
              <w:left w:val="nil"/>
              <w:bottom w:val="single" w:sz="8" w:space="0" w:color="auto"/>
              <w:right w:val="nil"/>
            </w:tcBorders>
            <w:shd w:val="clear" w:color="auto" w:fill="auto"/>
            <w:noWrap/>
            <w:vAlign w:val="bottom"/>
            <w:hideMark/>
          </w:tcPr>
          <w:p w:rsidR="005607EB" w:rsidRDefault="005607EB" w:rsidP="005607EB">
            <w:pPr>
              <w:jc w:val="center"/>
              <w:rPr>
                <w:b/>
                <w:bCs/>
                <w:color w:val="000000"/>
                <w:sz w:val="22"/>
                <w:szCs w:val="22"/>
              </w:rPr>
            </w:pPr>
            <w:r>
              <w:rPr>
                <w:b/>
                <w:bCs/>
                <w:color w:val="000000"/>
                <w:sz w:val="22"/>
                <w:szCs w:val="22"/>
              </w:rPr>
              <w:t>Political Environment</w:t>
            </w:r>
          </w:p>
        </w:tc>
        <w:tc>
          <w:tcPr>
            <w:tcW w:w="1365" w:type="dxa"/>
            <w:tcBorders>
              <w:top w:val="single" w:sz="8" w:space="0" w:color="auto"/>
              <w:left w:val="single" w:sz="4" w:space="0" w:color="auto"/>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Large</w:t>
            </w:r>
          </w:p>
        </w:tc>
        <w:tc>
          <w:tcPr>
            <w:tcW w:w="1365" w:type="dxa"/>
            <w:tcBorders>
              <w:top w:val="single" w:sz="8" w:space="0" w:color="auto"/>
              <w:left w:val="nil"/>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Small</w:t>
            </w:r>
          </w:p>
        </w:tc>
        <w:tc>
          <w:tcPr>
            <w:tcW w:w="1365" w:type="dxa"/>
            <w:tcBorders>
              <w:top w:val="single" w:sz="8" w:space="0" w:color="auto"/>
              <w:left w:val="nil"/>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Corp</w:t>
            </w:r>
          </w:p>
        </w:tc>
        <w:tc>
          <w:tcPr>
            <w:tcW w:w="1365" w:type="dxa"/>
            <w:tcBorders>
              <w:top w:val="single" w:sz="8" w:space="0" w:color="auto"/>
              <w:left w:val="nil"/>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T-bill</w:t>
            </w:r>
          </w:p>
        </w:tc>
        <w:tc>
          <w:tcPr>
            <w:tcW w:w="1365" w:type="dxa"/>
            <w:tcBorders>
              <w:top w:val="single" w:sz="8" w:space="0" w:color="auto"/>
              <w:left w:val="nil"/>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Inflation</w:t>
            </w:r>
          </w:p>
        </w:tc>
      </w:tr>
      <w:tr w:rsidR="005607EB" w:rsidTr="005607EB">
        <w:trPr>
          <w:trHeight w:val="315"/>
        </w:trPr>
        <w:tc>
          <w:tcPr>
            <w:tcW w:w="1728" w:type="dxa"/>
            <w:tcBorders>
              <w:top w:val="nil"/>
              <w:left w:val="nil"/>
              <w:bottom w:val="nil"/>
              <w:right w:val="nil"/>
            </w:tcBorders>
            <w:shd w:val="clear" w:color="auto" w:fill="auto"/>
            <w:noWrap/>
            <w:vAlign w:val="bottom"/>
            <w:hideMark/>
          </w:tcPr>
          <w:p w:rsidR="005607EB" w:rsidRDefault="005607EB">
            <w:pPr>
              <w:rPr>
                <w:color w:val="000000"/>
                <w:sz w:val="22"/>
                <w:szCs w:val="22"/>
              </w:rPr>
            </w:pPr>
            <w:r>
              <w:rPr>
                <w:color w:val="000000"/>
                <w:sz w:val="22"/>
                <w:szCs w:val="22"/>
              </w:rPr>
              <w:t>EXPANSIVE</w:t>
            </w:r>
          </w:p>
        </w:tc>
        <w:tc>
          <w:tcPr>
            <w:tcW w:w="2268" w:type="dxa"/>
            <w:tcBorders>
              <w:top w:val="nil"/>
              <w:left w:val="nil"/>
              <w:bottom w:val="nil"/>
              <w:right w:val="nil"/>
            </w:tcBorders>
            <w:shd w:val="clear" w:color="auto" w:fill="auto"/>
            <w:noWrap/>
            <w:vAlign w:val="bottom"/>
            <w:hideMark/>
          </w:tcPr>
          <w:p w:rsidR="005607EB" w:rsidRDefault="005607EB">
            <w:pPr>
              <w:jc w:val="center"/>
              <w:rPr>
                <w:i/>
                <w:iCs/>
                <w:color w:val="000000"/>
                <w:sz w:val="22"/>
                <w:szCs w:val="22"/>
              </w:rPr>
            </w:pPr>
            <w:r>
              <w:rPr>
                <w:i/>
                <w:iCs/>
                <w:color w:val="000000"/>
                <w:sz w:val="22"/>
                <w:szCs w:val="22"/>
              </w:rPr>
              <w:t>Gridlock</w:t>
            </w:r>
          </w:p>
        </w:tc>
        <w:tc>
          <w:tcPr>
            <w:tcW w:w="1365" w:type="dxa"/>
            <w:tcBorders>
              <w:top w:val="nil"/>
              <w:left w:val="single" w:sz="4" w:space="0" w:color="auto"/>
              <w:bottom w:val="nil"/>
              <w:right w:val="nil"/>
            </w:tcBorders>
            <w:shd w:val="clear" w:color="auto" w:fill="auto"/>
            <w:noWrap/>
            <w:vAlign w:val="bottom"/>
            <w:hideMark/>
          </w:tcPr>
          <w:p w:rsidR="005607EB" w:rsidRDefault="005607EB">
            <w:pPr>
              <w:jc w:val="center"/>
              <w:rPr>
                <w:sz w:val="22"/>
                <w:szCs w:val="22"/>
              </w:rPr>
            </w:pPr>
            <w:r>
              <w:rPr>
                <w:sz w:val="22"/>
                <w:szCs w:val="22"/>
              </w:rPr>
              <w:t>Overweight</w:t>
            </w: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r>
              <w:rPr>
                <w:sz w:val="22"/>
                <w:szCs w:val="22"/>
              </w:rPr>
              <w:t>Overweight</w:t>
            </w: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r>
              <w:rPr>
                <w:sz w:val="22"/>
                <w:szCs w:val="22"/>
              </w:rPr>
              <w:t>Overweight</w:t>
            </w: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r>
              <w:rPr>
                <w:sz w:val="22"/>
                <w:szCs w:val="22"/>
              </w:rPr>
              <w:t>Underweight</w:t>
            </w:r>
          </w:p>
        </w:tc>
      </w:tr>
      <w:tr w:rsidR="005607EB" w:rsidTr="005607EB">
        <w:trPr>
          <w:trHeight w:val="315"/>
        </w:trPr>
        <w:tc>
          <w:tcPr>
            <w:tcW w:w="1728" w:type="dxa"/>
            <w:tcBorders>
              <w:top w:val="nil"/>
              <w:left w:val="nil"/>
              <w:bottom w:val="single" w:sz="4" w:space="0" w:color="auto"/>
              <w:right w:val="nil"/>
            </w:tcBorders>
            <w:shd w:val="clear" w:color="auto" w:fill="auto"/>
            <w:noWrap/>
            <w:vAlign w:val="bottom"/>
            <w:hideMark/>
          </w:tcPr>
          <w:p w:rsidR="005607EB" w:rsidRDefault="005607EB">
            <w:pPr>
              <w:rPr>
                <w:b/>
                <w:bCs/>
                <w:color w:val="000000"/>
                <w:sz w:val="22"/>
                <w:szCs w:val="22"/>
              </w:rPr>
            </w:pPr>
            <w:r>
              <w:rPr>
                <w:b/>
                <w:bCs/>
                <w:color w:val="000000"/>
                <w:sz w:val="22"/>
                <w:szCs w:val="22"/>
              </w:rPr>
              <w:t> </w:t>
            </w:r>
          </w:p>
        </w:tc>
        <w:tc>
          <w:tcPr>
            <w:tcW w:w="2268" w:type="dxa"/>
            <w:tcBorders>
              <w:top w:val="nil"/>
              <w:left w:val="nil"/>
              <w:bottom w:val="single" w:sz="4" w:space="0" w:color="auto"/>
              <w:right w:val="nil"/>
            </w:tcBorders>
            <w:shd w:val="clear" w:color="auto" w:fill="auto"/>
            <w:noWrap/>
            <w:vAlign w:val="bottom"/>
            <w:hideMark/>
          </w:tcPr>
          <w:p w:rsidR="005607EB" w:rsidRDefault="005607EB">
            <w:pPr>
              <w:jc w:val="center"/>
              <w:rPr>
                <w:i/>
                <w:iCs/>
                <w:color w:val="000000"/>
                <w:sz w:val="22"/>
                <w:szCs w:val="22"/>
              </w:rPr>
            </w:pPr>
            <w:r>
              <w:rPr>
                <w:i/>
                <w:iCs/>
                <w:color w:val="000000"/>
                <w:sz w:val="22"/>
                <w:szCs w:val="22"/>
              </w:rPr>
              <w:t>Harmony</w:t>
            </w:r>
          </w:p>
        </w:tc>
        <w:tc>
          <w:tcPr>
            <w:tcW w:w="1365" w:type="dxa"/>
            <w:tcBorders>
              <w:top w:val="nil"/>
              <w:left w:val="single" w:sz="4" w:space="0" w:color="auto"/>
              <w:bottom w:val="single" w:sz="4" w:space="0" w:color="auto"/>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sz w:val="22"/>
                <w:szCs w:val="22"/>
              </w:rPr>
            </w:pPr>
            <w:r>
              <w:rPr>
                <w:sz w:val="22"/>
                <w:szCs w:val="22"/>
              </w:rPr>
              <w:t>Overweight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sz w:val="22"/>
                <w:szCs w:val="22"/>
              </w:rPr>
            </w:pPr>
            <w:r>
              <w:rPr>
                <w:sz w:val="22"/>
                <w:szCs w:val="22"/>
              </w:rPr>
              <w:t>Underweight</w:t>
            </w:r>
          </w:p>
        </w:tc>
      </w:tr>
      <w:tr w:rsidR="005607EB" w:rsidTr="005607EB">
        <w:trPr>
          <w:trHeight w:val="315"/>
        </w:trPr>
        <w:tc>
          <w:tcPr>
            <w:tcW w:w="1728" w:type="dxa"/>
            <w:tcBorders>
              <w:top w:val="nil"/>
              <w:left w:val="nil"/>
              <w:bottom w:val="nil"/>
              <w:right w:val="nil"/>
            </w:tcBorders>
            <w:shd w:val="clear" w:color="auto" w:fill="auto"/>
            <w:noWrap/>
            <w:vAlign w:val="bottom"/>
            <w:hideMark/>
          </w:tcPr>
          <w:p w:rsidR="005607EB" w:rsidRDefault="005607EB">
            <w:pPr>
              <w:rPr>
                <w:color w:val="000000"/>
                <w:sz w:val="22"/>
                <w:szCs w:val="22"/>
              </w:rPr>
            </w:pPr>
          </w:p>
        </w:tc>
        <w:tc>
          <w:tcPr>
            <w:tcW w:w="2268"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p>
        </w:tc>
        <w:tc>
          <w:tcPr>
            <w:tcW w:w="1365" w:type="dxa"/>
            <w:tcBorders>
              <w:top w:val="nil"/>
              <w:left w:val="single" w:sz="4" w:space="0" w:color="auto"/>
              <w:bottom w:val="nil"/>
              <w:right w:val="nil"/>
            </w:tcBorders>
            <w:shd w:val="clear" w:color="auto" w:fill="auto"/>
            <w:noWrap/>
            <w:vAlign w:val="bottom"/>
            <w:hideMark/>
          </w:tcPr>
          <w:p w:rsidR="005607EB" w:rsidRDefault="005607EB">
            <w:pPr>
              <w:jc w:val="center"/>
              <w:rPr>
                <w:sz w:val="22"/>
                <w:szCs w:val="22"/>
              </w:rPr>
            </w:pPr>
            <w:r>
              <w:rPr>
                <w:sz w:val="22"/>
                <w:szCs w:val="22"/>
              </w:rPr>
              <w:t> </w:t>
            </w: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p>
        </w:tc>
      </w:tr>
      <w:tr w:rsidR="005607EB" w:rsidTr="007C71BE">
        <w:trPr>
          <w:trHeight w:val="315"/>
        </w:trPr>
        <w:tc>
          <w:tcPr>
            <w:tcW w:w="1728" w:type="dxa"/>
            <w:tcBorders>
              <w:top w:val="nil"/>
              <w:left w:val="nil"/>
              <w:bottom w:val="nil"/>
              <w:right w:val="nil"/>
            </w:tcBorders>
            <w:shd w:val="clear" w:color="auto" w:fill="auto"/>
            <w:noWrap/>
            <w:vAlign w:val="bottom"/>
            <w:hideMark/>
          </w:tcPr>
          <w:p w:rsidR="005607EB" w:rsidRDefault="005607EB">
            <w:pPr>
              <w:rPr>
                <w:color w:val="000000"/>
                <w:sz w:val="22"/>
                <w:szCs w:val="22"/>
              </w:rPr>
            </w:pPr>
            <w:r>
              <w:rPr>
                <w:color w:val="000000"/>
                <w:sz w:val="22"/>
                <w:szCs w:val="22"/>
              </w:rPr>
              <w:t>RESTRICTIVE</w:t>
            </w:r>
          </w:p>
        </w:tc>
        <w:tc>
          <w:tcPr>
            <w:tcW w:w="2268" w:type="dxa"/>
            <w:tcBorders>
              <w:top w:val="nil"/>
              <w:left w:val="nil"/>
              <w:bottom w:val="nil"/>
              <w:right w:val="nil"/>
            </w:tcBorders>
            <w:shd w:val="clear" w:color="auto" w:fill="auto"/>
            <w:noWrap/>
            <w:vAlign w:val="bottom"/>
            <w:hideMark/>
          </w:tcPr>
          <w:p w:rsidR="005607EB" w:rsidRDefault="005607EB">
            <w:pPr>
              <w:jc w:val="center"/>
              <w:rPr>
                <w:i/>
                <w:iCs/>
                <w:color w:val="000000"/>
                <w:sz w:val="22"/>
                <w:szCs w:val="22"/>
              </w:rPr>
            </w:pPr>
            <w:r>
              <w:rPr>
                <w:i/>
                <w:iCs/>
                <w:color w:val="000000"/>
                <w:sz w:val="22"/>
                <w:szCs w:val="22"/>
              </w:rPr>
              <w:t>Gridlock</w:t>
            </w:r>
          </w:p>
        </w:tc>
        <w:tc>
          <w:tcPr>
            <w:tcW w:w="1365" w:type="dxa"/>
            <w:tcBorders>
              <w:top w:val="nil"/>
              <w:left w:val="single" w:sz="4" w:space="0" w:color="auto"/>
              <w:bottom w:val="nil"/>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nil"/>
              <w:right w:val="nil"/>
            </w:tcBorders>
            <w:shd w:val="clear" w:color="auto" w:fill="auto"/>
            <w:noWrap/>
            <w:vAlign w:val="bottom"/>
            <w:hideMark/>
          </w:tcPr>
          <w:p w:rsidR="005607EB" w:rsidRDefault="005607EB">
            <w:pPr>
              <w:jc w:val="center"/>
              <w:rPr>
                <w:sz w:val="22"/>
                <w:szCs w:val="22"/>
              </w:rPr>
            </w:pPr>
            <w:r>
              <w:rPr>
                <w:sz w:val="22"/>
                <w:szCs w:val="22"/>
              </w:rPr>
              <w:t>Overweight</w:t>
            </w:r>
          </w:p>
        </w:tc>
        <w:tc>
          <w:tcPr>
            <w:tcW w:w="1365" w:type="dxa"/>
            <w:tcBorders>
              <w:top w:val="nil"/>
              <w:left w:val="nil"/>
              <w:right w:val="nil"/>
            </w:tcBorders>
            <w:shd w:val="clear" w:color="auto" w:fill="auto"/>
            <w:noWrap/>
            <w:vAlign w:val="bottom"/>
            <w:hideMark/>
          </w:tcPr>
          <w:p w:rsidR="005607EB" w:rsidRDefault="005607EB">
            <w:pPr>
              <w:jc w:val="center"/>
              <w:rPr>
                <w:sz w:val="22"/>
                <w:szCs w:val="22"/>
              </w:rPr>
            </w:pPr>
            <w:r>
              <w:rPr>
                <w:sz w:val="22"/>
                <w:szCs w:val="22"/>
              </w:rPr>
              <w:t>Overweight</w:t>
            </w:r>
          </w:p>
        </w:tc>
      </w:tr>
      <w:tr w:rsidR="005607EB" w:rsidTr="007C71BE">
        <w:trPr>
          <w:trHeight w:val="330"/>
        </w:trPr>
        <w:tc>
          <w:tcPr>
            <w:tcW w:w="1728" w:type="dxa"/>
            <w:tcBorders>
              <w:top w:val="nil"/>
              <w:left w:val="nil"/>
              <w:bottom w:val="single" w:sz="4" w:space="0" w:color="auto"/>
              <w:right w:val="nil"/>
            </w:tcBorders>
            <w:shd w:val="clear" w:color="auto" w:fill="auto"/>
            <w:noWrap/>
            <w:vAlign w:val="bottom"/>
            <w:hideMark/>
          </w:tcPr>
          <w:p w:rsidR="005607EB" w:rsidRDefault="005607EB">
            <w:pPr>
              <w:rPr>
                <w:b/>
                <w:bCs/>
                <w:color w:val="000000"/>
                <w:sz w:val="22"/>
                <w:szCs w:val="22"/>
              </w:rPr>
            </w:pPr>
            <w:r>
              <w:rPr>
                <w:b/>
                <w:bCs/>
                <w:color w:val="000000"/>
                <w:sz w:val="22"/>
                <w:szCs w:val="22"/>
              </w:rPr>
              <w:t> </w:t>
            </w:r>
          </w:p>
        </w:tc>
        <w:tc>
          <w:tcPr>
            <w:tcW w:w="2268" w:type="dxa"/>
            <w:tcBorders>
              <w:top w:val="nil"/>
              <w:left w:val="nil"/>
              <w:bottom w:val="single" w:sz="4" w:space="0" w:color="auto"/>
              <w:right w:val="nil"/>
            </w:tcBorders>
            <w:shd w:val="clear" w:color="auto" w:fill="auto"/>
            <w:noWrap/>
            <w:vAlign w:val="bottom"/>
            <w:hideMark/>
          </w:tcPr>
          <w:p w:rsidR="005607EB" w:rsidRDefault="005607EB">
            <w:pPr>
              <w:jc w:val="center"/>
              <w:rPr>
                <w:i/>
                <w:iCs/>
                <w:color w:val="000000"/>
                <w:sz w:val="22"/>
                <w:szCs w:val="22"/>
              </w:rPr>
            </w:pPr>
            <w:r>
              <w:rPr>
                <w:i/>
                <w:iCs/>
                <w:color w:val="000000"/>
                <w:sz w:val="22"/>
                <w:szCs w:val="22"/>
              </w:rPr>
              <w:t>Harmony</w:t>
            </w:r>
          </w:p>
        </w:tc>
        <w:tc>
          <w:tcPr>
            <w:tcW w:w="1365" w:type="dxa"/>
            <w:tcBorders>
              <w:top w:val="nil"/>
              <w:left w:val="single" w:sz="4" w:space="0" w:color="auto"/>
              <w:bottom w:val="single" w:sz="4" w:space="0" w:color="auto"/>
              <w:right w:val="nil"/>
            </w:tcBorders>
            <w:shd w:val="clear" w:color="auto" w:fill="auto"/>
            <w:noWrap/>
            <w:vAlign w:val="bottom"/>
            <w:hideMark/>
          </w:tcPr>
          <w:p w:rsidR="005607EB" w:rsidRDefault="005607EB">
            <w:pPr>
              <w:jc w:val="center"/>
              <w:rPr>
                <w:sz w:val="22"/>
                <w:szCs w:val="22"/>
              </w:rPr>
            </w:pPr>
            <w:r>
              <w:rPr>
                <w:sz w:val="22"/>
                <w:szCs w:val="22"/>
              </w:rPr>
              <w:t>Overweight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sz w:val="22"/>
                <w:szCs w:val="22"/>
              </w:rPr>
            </w:pPr>
            <w:r>
              <w:rPr>
                <w:sz w:val="22"/>
                <w:szCs w:val="22"/>
              </w:rPr>
              <w:t>Underweight</w:t>
            </w:r>
          </w:p>
        </w:tc>
        <w:tc>
          <w:tcPr>
            <w:tcW w:w="1365" w:type="dxa"/>
            <w:tcBorders>
              <w:top w:val="nil"/>
              <w:left w:val="nil"/>
              <w:bottom w:val="single" w:sz="4" w:space="0" w:color="auto"/>
            </w:tcBorders>
            <w:shd w:val="clear" w:color="auto" w:fill="auto"/>
            <w:noWrap/>
            <w:vAlign w:val="bottom"/>
            <w:hideMark/>
          </w:tcPr>
          <w:p w:rsidR="005607EB" w:rsidRDefault="005607EB">
            <w:pPr>
              <w:jc w:val="center"/>
              <w:rPr>
                <w:sz w:val="22"/>
                <w:szCs w:val="22"/>
              </w:rPr>
            </w:pPr>
            <w:r>
              <w:rPr>
                <w:sz w:val="22"/>
                <w:szCs w:val="22"/>
              </w:rPr>
              <w:t>Underweight</w:t>
            </w:r>
          </w:p>
        </w:tc>
      </w:tr>
      <w:tr w:rsidR="005607EB" w:rsidTr="005607EB">
        <w:trPr>
          <w:trHeight w:val="330"/>
        </w:trPr>
        <w:tc>
          <w:tcPr>
            <w:tcW w:w="1728" w:type="dxa"/>
            <w:tcBorders>
              <w:top w:val="nil"/>
              <w:left w:val="nil"/>
              <w:bottom w:val="nil"/>
              <w:right w:val="nil"/>
            </w:tcBorders>
            <w:shd w:val="clear" w:color="auto" w:fill="auto"/>
            <w:noWrap/>
            <w:vAlign w:val="bottom"/>
            <w:hideMark/>
          </w:tcPr>
          <w:p w:rsidR="005607EB" w:rsidRDefault="005607EB">
            <w:pPr>
              <w:rPr>
                <w:rFonts w:ascii="Calibri" w:hAnsi="Calibri" w:cs="Calibri"/>
                <w:color w:val="000000"/>
                <w:sz w:val="22"/>
                <w:szCs w:val="22"/>
              </w:rPr>
            </w:pPr>
          </w:p>
        </w:tc>
        <w:tc>
          <w:tcPr>
            <w:tcW w:w="2268" w:type="dxa"/>
            <w:tcBorders>
              <w:top w:val="nil"/>
              <w:left w:val="nil"/>
              <w:bottom w:val="nil"/>
              <w:right w:val="nil"/>
            </w:tcBorders>
            <w:shd w:val="clear" w:color="auto" w:fill="auto"/>
            <w:noWrap/>
            <w:vAlign w:val="bottom"/>
            <w:hideMark/>
          </w:tcPr>
          <w:p w:rsidR="005607EB" w:rsidRDefault="005607EB">
            <w:pPr>
              <w:rPr>
                <w:rFonts w:ascii="Calibri" w:hAnsi="Calibri" w:cs="Calibri"/>
                <w:color w:val="000000"/>
                <w:sz w:val="22"/>
                <w:szCs w:val="22"/>
              </w:rPr>
            </w:pPr>
          </w:p>
        </w:tc>
        <w:tc>
          <w:tcPr>
            <w:tcW w:w="6825" w:type="dxa"/>
            <w:gridSpan w:val="5"/>
            <w:tcBorders>
              <w:top w:val="nil"/>
              <w:left w:val="nil"/>
              <w:bottom w:val="nil"/>
              <w:right w:val="nil"/>
            </w:tcBorders>
            <w:shd w:val="clear" w:color="auto" w:fill="auto"/>
            <w:noWrap/>
            <w:vAlign w:val="bottom"/>
            <w:hideMark/>
          </w:tcPr>
          <w:p w:rsidR="005607EB" w:rsidRDefault="005607EB">
            <w:pPr>
              <w:jc w:val="center"/>
              <w:rPr>
                <w:b/>
                <w:bCs/>
                <w:color w:val="0070C0"/>
                <w:sz w:val="22"/>
                <w:szCs w:val="22"/>
              </w:rPr>
            </w:pPr>
            <w:r w:rsidRPr="005607EB">
              <w:rPr>
                <w:b/>
                <w:bCs/>
                <w:color w:val="0070C0"/>
                <w:szCs w:val="22"/>
              </w:rPr>
              <w:t>Democratic President</w:t>
            </w:r>
          </w:p>
        </w:tc>
      </w:tr>
      <w:tr w:rsidR="005607EB" w:rsidRPr="007C71BE" w:rsidTr="005607EB">
        <w:trPr>
          <w:trHeight w:val="330"/>
        </w:trPr>
        <w:tc>
          <w:tcPr>
            <w:tcW w:w="1728" w:type="dxa"/>
            <w:tcBorders>
              <w:top w:val="nil"/>
              <w:left w:val="nil"/>
              <w:bottom w:val="nil"/>
              <w:right w:val="nil"/>
            </w:tcBorders>
            <w:shd w:val="clear" w:color="auto" w:fill="auto"/>
            <w:noWrap/>
            <w:vAlign w:val="bottom"/>
            <w:hideMark/>
          </w:tcPr>
          <w:p w:rsidR="005607EB" w:rsidRDefault="005607EB">
            <w:pPr>
              <w:rPr>
                <w:rFonts w:ascii="Calibri" w:hAnsi="Calibri" w:cs="Calibri"/>
                <w:color w:val="000000"/>
                <w:sz w:val="22"/>
                <w:szCs w:val="22"/>
              </w:rPr>
            </w:pPr>
          </w:p>
        </w:tc>
        <w:tc>
          <w:tcPr>
            <w:tcW w:w="2268" w:type="dxa"/>
            <w:tcBorders>
              <w:top w:val="nil"/>
              <w:left w:val="nil"/>
              <w:bottom w:val="nil"/>
              <w:right w:val="nil"/>
            </w:tcBorders>
            <w:shd w:val="clear" w:color="auto" w:fill="auto"/>
            <w:noWrap/>
            <w:vAlign w:val="bottom"/>
            <w:hideMark/>
          </w:tcPr>
          <w:p w:rsidR="005607EB" w:rsidRDefault="005607EB">
            <w:pPr>
              <w:rPr>
                <w:rFonts w:ascii="Calibri" w:hAnsi="Calibri" w:cs="Calibri"/>
                <w:color w:val="000000"/>
                <w:sz w:val="22"/>
                <w:szCs w:val="22"/>
              </w:rPr>
            </w:pPr>
          </w:p>
        </w:tc>
        <w:tc>
          <w:tcPr>
            <w:tcW w:w="1365" w:type="dxa"/>
            <w:tcBorders>
              <w:top w:val="single" w:sz="8" w:space="0" w:color="auto"/>
              <w:left w:val="single" w:sz="4" w:space="0" w:color="auto"/>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Large</w:t>
            </w:r>
          </w:p>
        </w:tc>
        <w:tc>
          <w:tcPr>
            <w:tcW w:w="1365" w:type="dxa"/>
            <w:tcBorders>
              <w:top w:val="single" w:sz="8" w:space="0" w:color="auto"/>
              <w:left w:val="nil"/>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Small</w:t>
            </w:r>
          </w:p>
        </w:tc>
        <w:tc>
          <w:tcPr>
            <w:tcW w:w="1365" w:type="dxa"/>
            <w:tcBorders>
              <w:top w:val="single" w:sz="8" w:space="0" w:color="auto"/>
              <w:left w:val="nil"/>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Corp</w:t>
            </w:r>
          </w:p>
        </w:tc>
        <w:tc>
          <w:tcPr>
            <w:tcW w:w="1365" w:type="dxa"/>
            <w:tcBorders>
              <w:top w:val="single" w:sz="8" w:space="0" w:color="auto"/>
              <w:left w:val="nil"/>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T-bill</w:t>
            </w:r>
          </w:p>
        </w:tc>
        <w:tc>
          <w:tcPr>
            <w:tcW w:w="1365" w:type="dxa"/>
            <w:tcBorders>
              <w:top w:val="single" w:sz="8" w:space="0" w:color="auto"/>
              <w:left w:val="nil"/>
              <w:bottom w:val="single" w:sz="8" w:space="0" w:color="auto"/>
              <w:right w:val="nil"/>
            </w:tcBorders>
            <w:shd w:val="clear" w:color="auto" w:fill="auto"/>
            <w:noWrap/>
            <w:vAlign w:val="center"/>
            <w:hideMark/>
          </w:tcPr>
          <w:p w:rsidR="005607EB" w:rsidRDefault="005607EB">
            <w:pPr>
              <w:jc w:val="center"/>
              <w:rPr>
                <w:b/>
                <w:bCs/>
                <w:color w:val="000000"/>
                <w:sz w:val="22"/>
                <w:szCs w:val="22"/>
              </w:rPr>
            </w:pPr>
            <w:r>
              <w:rPr>
                <w:b/>
                <w:bCs/>
                <w:color w:val="000000"/>
                <w:sz w:val="22"/>
                <w:szCs w:val="22"/>
              </w:rPr>
              <w:t>Inflation</w:t>
            </w:r>
          </w:p>
        </w:tc>
      </w:tr>
      <w:tr w:rsidR="005607EB" w:rsidTr="005607EB">
        <w:trPr>
          <w:trHeight w:val="315"/>
        </w:trPr>
        <w:tc>
          <w:tcPr>
            <w:tcW w:w="1728" w:type="dxa"/>
            <w:tcBorders>
              <w:top w:val="single" w:sz="8" w:space="0" w:color="auto"/>
              <w:left w:val="nil"/>
              <w:bottom w:val="nil"/>
              <w:right w:val="nil"/>
            </w:tcBorders>
            <w:shd w:val="clear" w:color="auto" w:fill="auto"/>
            <w:noWrap/>
            <w:vAlign w:val="bottom"/>
            <w:hideMark/>
          </w:tcPr>
          <w:p w:rsidR="005607EB" w:rsidRDefault="005607EB">
            <w:pPr>
              <w:rPr>
                <w:color w:val="000000"/>
                <w:sz w:val="22"/>
                <w:szCs w:val="22"/>
              </w:rPr>
            </w:pPr>
            <w:r>
              <w:rPr>
                <w:color w:val="000000"/>
                <w:sz w:val="22"/>
                <w:szCs w:val="22"/>
              </w:rPr>
              <w:t>EXPANSIVE</w:t>
            </w:r>
          </w:p>
        </w:tc>
        <w:tc>
          <w:tcPr>
            <w:tcW w:w="2268" w:type="dxa"/>
            <w:tcBorders>
              <w:top w:val="single" w:sz="8" w:space="0" w:color="auto"/>
              <w:left w:val="nil"/>
              <w:bottom w:val="nil"/>
              <w:right w:val="nil"/>
            </w:tcBorders>
            <w:shd w:val="clear" w:color="auto" w:fill="auto"/>
            <w:noWrap/>
            <w:vAlign w:val="bottom"/>
            <w:hideMark/>
          </w:tcPr>
          <w:p w:rsidR="005607EB" w:rsidRDefault="005607EB">
            <w:pPr>
              <w:jc w:val="center"/>
              <w:rPr>
                <w:i/>
                <w:iCs/>
                <w:color w:val="000000"/>
                <w:sz w:val="22"/>
                <w:szCs w:val="22"/>
              </w:rPr>
            </w:pPr>
            <w:r>
              <w:rPr>
                <w:i/>
                <w:iCs/>
                <w:color w:val="000000"/>
                <w:sz w:val="22"/>
                <w:szCs w:val="22"/>
              </w:rPr>
              <w:t>Gridlock</w:t>
            </w:r>
          </w:p>
        </w:tc>
        <w:tc>
          <w:tcPr>
            <w:tcW w:w="1365" w:type="dxa"/>
            <w:tcBorders>
              <w:top w:val="nil"/>
              <w:left w:val="single" w:sz="4" w:space="0" w:color="auto"/>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Overweight</w:t>
            </w: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r>
      <w:tr w:rsidR="005607EB" w:rsidTr="005607EB">
        <w:trPr>
          <w:trHeight w:val="315"/>
        </w:trPr>
        <w:tc>
          <w:tcPr>
            <w:tcW w:w="1728" w:type="dxa"/>
            <w:tcBorders>
              <w:top w:val="nil"/>
              <w:left w:val="nil"/>
              <w:bottom w:val="single" w:sz="4" w:space="0" w:color="auto"/>
              <w:right w:val="nil"/>
            </w:tcBorders>
            <w:shd w:val="clear" w:color="auto" w:fill="auto"/>
            <w:noWrap/>
            <w:vAlign w:val="bottom"/>
            <w:hideMark/>
          </w:tcPr>
          <w:p w:rsidR="005607EB" w:rsidRDefault="005607EB">
            <w:pPr>
              <w:rPr>
                <w:b/>
                <w:bCs/>
                <w:color w:val="000000"/>
                <w:sz w:val="22"/>
                <w:szCs w:val="22"/>
              </w:rPr>
            </w:pPr>
            <w:r>
              <w:rPr>
                <w:b/>
                <w:bCs/>
                <w:color w:val="000000"/>
                <w:sz w:val="22"/>
                <w:szCs w:val="22"/>
              </w:rPr>
              <w:t> </w:t>
            </w:r>
          </w:p>
        </w:tc>
        <w:tc>
          <w:tcPr>
            <w:tcW w:w="2268" w:type="dxa"/>
            <w:tcBorders>
              <w:top w:val="nil"/>
              <w:left w:val="nil"/>
              <w:bottom w:val="single" w:sz="4" w:space="0" w:color="auto"/>
              <w:right w:val="nil"/>
            </w:tcBorders>
            <w:shd w:val="clear" w:color="auto" w:fill="auto"/>
            <w:noWrap/>
            <w:vAlign w:val="bottom"/>
            <w:hideMark/>
          </w:tcPr>
          <w:p w:rsidR="005607EB" w:rsidRDefault="005607EB">
            <w:pPr>
              <w:jc w:val="center"/>
              <w:rPr>
                <w:i/>
                <w:iCs/>
                <w:color w:val="000000"/>
                <w:sz w:val="22"/>
                <w:szCs w:val="22"/>
              </w:rPr>
            </w:pPr>
            <w:r>
              <w:rPr>
                <w:i/>
                <w:iCs/>
                <w:color w:val="000000"/>
                <w:sz w:val="22"/>
                <w:szCs w:val="22"/>
              </w:rPr>
              <w:t>Harmony</w:t>
            </w:r>
          </w:p>
        </w:tc>
        <w:tc>
          <w:tcPr>
            <w:tcW w:w="1365" w:type="dxa"/>
            <w:tcBorders>
              <w:top w:val="nil"/>
              <w:left w:val="single" w:sz="4" w:space="0" w:color="auto"/>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Overweight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Overweight</w:t>
            </w:r>
          </w:p>
        </w:tc>
      </w:tr>
      <w:tr w:rsidR="005607EB" w:rsidTr="005607EB">
        <w:trPr>
          <w:trHeight w:val="315"/>
        </w:trPr>
        <w:tc>
          <w:tcPr>
            <w:tcW w:w="1728" w:type="dxa"/>
            <w:tcBorders>
              <w:top w:val="nil"/>
              <w:left w:val="nil"/>
              <w:bottom w:val="nil"/>
              <w:right w:val="nil"/>
            </w:tcBorders>
            <w:shd w:val="clear" w:color="auto" w:fill="auto"/>
            <w:noWrap/>
            <w:vAlign w:val="bottom"/>
            <w:hideMark/>
          </w:tcPr>
          <w:p w:rsidR="005607EB" w:rsidRDefault="005607EB">
            <w:pPr>
              <w:rPr>
                <w:color w:val="000000"/>
                <w:sz w:val="22"/>
                <w:szCs w:val="22"/>
              </w:rPr>
            </w:pPr>
          </w:p>
        </w:tc>
        <w:tc>
          <w:tcPr>
            <w:tcW w:w="2268"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p>
        </w:tc>
        <w:tc>
          <w:tcPr>
            <w:tcW w:w="1365" w:type="dxa"/>
            <w:tcBorders>
              <w:top w:val="nil"/>
              <w:left w:val="single" w:sz="4" w:space="0" w:color="auto"/>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 </w:t>
            </w: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p>
        </w:tc>
      </w:tr>
      <w:tr w:rsidR="005607EB" w:rsidTr="005607EB">
        <w:trPr>
          <w:trHeight w:val="315"/>
        </w:trPr>
        <w:tc>
          <w:tcPr>
            <w:tcW w:w="1728" w:type="dxa"/>
            <w:tcBorders>
              <w:top w:val="nil"/>
              <w:left w:val="nil"/>
              <w:bottom w:val="nil"/>
              <w:right w:val="nil"/>
            </w:tcBorders>
            <w:shd w:val="clear" w:color="auto" w:fill="auto"/>
            <w:noWrap/>
            <w:vAlign w:val="bottom"/>
            <w:hideMark/>
          </w:tcPr>
          <w:p w:rsidR="005607EB" w:rsidRDefault="005607EB">
            <w:pPr>
              <w:rPr>
                <w:color w:val="000000"/>
                <w:sz w:val="22"/>
                <w:szCs w:val="22"/>
              </w:rPr>
            </w:pPr>
            <w:r>
              <w:rPr>
                <w:color w:val="000000"/>
                <w:sz w:val="22"/>
                <w:szCs w:val="22"/>
              </w:rPr>
              <w:t>RESTRICTIVE</w:t>
            </w:r>
          </w:p>
        </w:tc>
        <w:tc>
          <w:tcPr>
            <w:tcW w:w="2268" w:type="dxa"/>
            <w:tcBorders>
              <w:top w:val="nil"/>
              <w:left w:val="nil"/>
              <w:bottom w:val="nil"/>
              <w:right w:val="nil"/>
            </w:tcBorders>
            <w:shd w:val="clear" w:color="auto" w:fill="auto"/>
            <w:noWrap/>
            <w:vAlign w:val="bottom"/>
            <w:hideMark/>
          </w:tcPr>
          <w:p w:rsidR="005607EB" w:rsidRDefault="005607EB">
            <w:pPr>
              <w:jc w:val="center"/>
              <w:rPr>
                <w:i/>
                <w:iCs/>
                <w:color w:val="000000"/>
                <w:sz w:val="22"/>
                <w:szCs w:val="22"/>
              </w:rPr>
            </w:pPr>
            <w:r>
              <w:rPr>
                <w:i/>
                <w:iCs/>
                <w:color w:val="000000"/>
                <w:sz w:val="22"/>
                <w:szCs w:val="22"/>
              </w:rPr>
              <w:t>Gridlock</w:t>
            </w:r>
          </w:p>
        </w:tc>
        <w:tc>
          <w:tcPr>
            <w:tcW w:w="1365" w:type="dxa"/>
            <w:tcBorders>
              <w:top w:val="nil"/>
              <w:left w:val="single" w:sz="4" w:space="0" w:color="auto"/>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Overweight</w:t>
            </w: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Overweight</w:t>
            </w: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Overweight</w:t>
            </w: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c>
          <w:tcPr>
            <w:tcW w:w="1365" w:type="dxa"/>
            <w:tcBorders>
              <w:top w:val="nil"/>
              <w:left w:val="nil"/>
              <w:bottom w:val="nil"/>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r>
      <w:tr w:rsidR="005607EB" w:rsidTr="005607EB">
        <w:trPr>
          <w:trHeight w:val="330"/>
        </w:trPr>
        <w:tc>
          <w:tcPr>
            <w:tcW w:w="1728" w:type="dxa"/>
            <w:tcBorders>
              <w:top w:val="nil"/>
              <w:left w:val="nil"/>
              <w:bottom w:val="single" w:sz="4" w:space="0" w:color="auto"/>
              <w:right w:val="nil"/>
            </w:tcBorders>
            <w:shd w:val="clear" w:color="auto" w:fill="auto"/>
            <w:noWrap/>
            <w:vAlign w:val="bottom"/>
            <w:hideMark/>
          </w:tcPr>
          <w:p w:rsidR="005607EB" w:rsidRDefault="005607EB">
            <w:pPr>
              <w:rPr>
                <w:b/>
                <w:bCs/>
                <w:color w:val="000000"/>
                <w:sz w:val="22"/>
                <w:szCs w:val="22"/>
              </w:rPr>
            </w:pPr>
            <w:r>
              <w:rPr>
                <w:b/>
                <w:bCs/>
                <w:color w:val="000000"/>
                <w:sz w:val="22"/>
                <w:szCs w:val="22"/>
              </w:rPr>
              <w:t> </w:t>
            </w:r>
          </w:p>
        </w:tc>
        <w:tc>
          <w:tcPr>
            <w:tcW w:w="2268" w:type="dxa"/>
            <w:tcBorders>
              <w:top w:val="nil"/>
              <w:left w:val="nil"/>
              <w:bottom w:val="single" w:sz="4" w:space="0" w:color="auto"/>
              <w:right w:val="nil"/>
            </w:tcBorders>
            <w:shd w:val="clear" w:color="auto" w:fill="auto"/>
            <w:noWrap/>
            <w:vAlign w:val="bottom"/>
            <w:hideMark/>
          </w:tcPr>
          <w:p w:rsidR="005607EB" w:rsidRDefault="005607EB">
            <w:pPr>
              <w:jc w:val="center"/>
              <w:rPr>
                <w:i/>
                <w:iCs/>
                <w:color w:val="000000"/>
                <w:sz w:val="22"/>
                <w:szCs w:val="22"/>
              </w:rPr>
            </w:pPr>
            <w:r>
              <w:rPr>
                <w:i/>
                <w:iCs/>
                <w:color w:val="000000"/>
                <w:sz w:val="22"/>
                <w:szCs w:val="22"/>
              </w:rPr>
              <w:t>Harmony</w:t>
            </w:r>
          </w:p>
        </w:tc>
        <w:tc>
          <w:tcPr>
            <w:tcW w:w="1365" w:type="dxa"/>
            <w:tcBorders>
              <w:top w:val="nil"/>
              <w:left w:val="single" w:sz="4" w:space="0" w:color="auto"/>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Overweight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Underweight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Overweight</w:t>
            </w:r>
          </w:p>
        </w:tc>
        <w:tc>
          <w:tcPr>
            <w:tcW w:w="1365" w:type="dxa"/>
            <w:tcBorders>
              <w:top w:val="nil"/>
              <w:left w:val="nil"/>
              <w:bottom w:val="single" w:sz="4" w:space="0" w:color="auto"/>
              <w:right w:val="nil"/>
            </w:tcBorders>
            <w:shd w:val="clear" w:color="auto" w:fill="auto"/>
            <w:noWrap/>
            <w:vAlign w:val="bottom"/>
            <w:hideMark/>
          </w:tcPr>
          <w:p w:rsidR="005607EB" w:rsidRDefault="005607EB">
            <w:pPr>
              <w:jc w:val="center"/>
              <w:rPr>
                <w:color w:val="000000"/>
                <w:sz w:val="22"/>
                <w:szCs w:val="22"/>
              </w:rPr>
            </w:pPr>
            <w:r>
              <w:rPr>
                <w:color w:val="000000"/>
                <w:sz w:val="22"/>
                <w:szCs w:val="22"/>
              </w:rPr>
              <w:t>Overweight</w:t>
            </w:r>
          </w:p>
        </w:tc>
      </w:tr>
    </w:tbl>
    <w:p w:rsidR="000B5C7E" w:rsidRPr="00356B05" w:rsidRDefault="00321F14" w:rsidP="00356B05">
      <w:pPr>
        <w:pStyle w:val="Heading4"/>
        <w:widowControl/>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0" w:right="-360"/>
        <w:jc w:val="left"/>
        <w:rPr>
          <w:b w:val="0"/>
          <w:sz w:val="24"/>
          <w:szCs w:val="24"/>
        </w:rPr>
      </w:pPr>
      <w:r w:rsidRPr="00625EAC">
        <w:rPr>
          <w:sz w:val="24"/>
          <w:szCs w:val="24"/>
        </w:rPr>
        <w:br w:type="page"/>
      </w:r>
      <w:r w:rsidR="000B5C7E" w:rsidRPr="00F640BF">
        <w:rPr>
          <w:sz w:val="24"/>
          <w:szCs w:val="24"/>
        </w:rPr>
        <w:lastRenderedPageBreak/>
        <w:t>REFERENCES</w:t>
      </w:r>
      <w:r w:rsidR="0008032E" w:rsidRPr="00F640BF">
        <w:rPr>
          <w:sz w:val="24"/>
          <w:szCs w:val="24"/>
        </w:rPr>
        <w:fldChar w:fldCharType="begin"/>
      </w:r>
      <w:r w:rsidR="000B5C7E" w:rsidRPr="00F640BF">
        <w:rPr>
          <w:sz w:val="24"/>
          <w:szCs w:val="24"/>
        </w:rPr>
        <w:instrText>tc \l4 "REFERENCES</w:instrText>
      </w:r>
      <w:r w:rsidR="0008032E" w:rsidRPr="00F640BF">
        <w:rPr>
          <w:sz w:val="24"/>
          <w:szCs w:val="24"/>
        </w:rPr>
        <w:fldChar w:fldCharType="end"/>
      </w:r>
    </w:p>
    <w:p w:rsidR="000B5C7E" w:rsidRDefault="00A54FCD" w:rsidP="00A54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8060A2" w:rsidRDefault="008060A2" w:rsidP="00BD453B">
      <w:pPr>
        <w:autoSpaceDE w:val="0"/>
        <w:autoSpaceDN w:val="0"/>
        <w:adjustRightInd w:val="0"/>
        <w:ind w:left="720" w:hanging="720"/>
      </w:pPr>
      <w:r>
        <w:t>Abelson, A. “Hold the Bubbly.” Barron’s, vol. 86 (January 2, 2006), p. 2.</w:t>
      </w:r>
    </w:p>
    <w:p w:rsidR="008060A2" w:rsidRDefault="008060A2" w:rsidP="00BD453B">
      <w:pPr>
        <w:autoSpaceDE w:val="0"/>
        <w:autoSpaceDN w:val="0"/>
        <w:adjustRightInd w:val="0"/>
        <w:ind w:left="720" w:hanging="720"/>
      </w:pPr>
    </w:p>
    <w:p w:rsidR="009A2CF3" w:rsidRDefault="00541FFA" w:rsidP="00BD453B">
      <w:pPr>
        <w:autoSpaceDE w:val="0"/>
        <w:autoSpaceDN w:val="0"/>
        <w:adjustRightInd w:val="0"/>
        <w:ind w:left="720" w:hanging="720"/>
      </w:pPr>
      <w:r>
        <w:t>Alesina,</w:t>
      </w:r>
      <w:r w:rsidR="00762B2C">
        <w:t xml:space="preserve"> A., N.</w:t>
      </w:r>
      <w:r>
        <w:t xml:space="preserve"> Roubini, and </w:t>
      </w:r>
      <w:r w:rsidR="00762B2C">
        <w:t xml:space="preserve">G. </w:t>
      </w:r>
      <w:r>
        <w:t>Cohen</w:t>
      </w:r>
      <w:r w:rsidR="00762B2C">
        <w:t xml:space="preserve">.  </w:t>
      </w:r>
      <w:r w:rsidR="00762B2C">
        <w:rPr>
          <w:i/>
        </w:rPr>
        <w:t>Political Cycles and the Macroeconomy</w:t>
      </w:r>
      <w:r w:rsidR="00762B2C">
        <w:t xml:space="preserve">.  </w:t>
      </w:r>
      <w:smartTag w:uri="urn:schemas-microsoft-com:office:smarttags" w:element="place">
        <w:smartTag w:uri="urn:schemas-microsoft-com:office:smarttags" w:element="City">
          <w:r w:rsidR="00762B2C">
            <w:t>Cambridge</w:t>
          </w:r>
        </w:smartTag>
        <w:r w:rsidR="00762B2C">
          <w:t xml:space="preserve">, </w:t>
        </w:r>
        <w:smartTag w:uri="urn:schemas-microsoft-com:office:smarttags" w:element="State">
          <w:r w:rsidR="00762B2C">
            <w:t>MA</w:t>
          </w:r>
        </w:smartTag>
      </w:smartTag>
      <w:r w:rsidR="00762B2C">
        <w:t>: MIT Press</w:t>
      </w:r>
      <w:r w:rsidR="00361DFC">
        <w:t xml:space="preserve">, </w:t>
      </w:r>
      <w:r>
        <w:t xml:space="preserve">1997. </w:t>
      </w:r>
    </w:p>
    <w:p w:rsidR="00581DF0" w:rsidRDefault="00581DF0" w:rsidP="00BD453B">
      <w:pPr>
        <w:autoSpaceDE w:val="0"/>
        <w:autoSpaceDN w:val="0"/>
        <w:adjustRightInd w:val="0"/>
        <w:ind w:left="720" w:hanging="720"/>
      </w:pPr>
    </w:p>
    <w:p w:rsidR="00581DF0" w:rsidRPr="00581DF0" w:rsidRDefault="00581DF0" w:rsidP="00BD453B">
      <w:pPr>
        <w:autoSpaceDE w:val="0"/>
        <w:autoSpaceDN w:val="0"/>
        <w:adjustRightInd w:val="0"/>
        <w:ind w:left="720" w:hanging="720"/>
      </w:pPr>
      <w:r>
        <w:t xml:space="preserve">Allvine, S.C., and D.E. O’Neill.  “Stock Market Returns and the Presidential Cycle: Implications for Market Efficiency.”  </w:t>
      </w:r>
      <w:r>
        <w:rPr>
          <w:i/>
        </w:rPr>
        <w:t>Financial Analysts Journal</w:t>
      </w:r>
      <w:r>
        <w:t>, vol. 36, no. 5 (Sept/Oct 1980), pp. 49-56.</w:t>
      </w:r>
    </w:p>
    <w:p w:rsidR="009A2CF3" w:rsidRDefault="009A2CF3" w:rsidP="009A2CF3">
      <w:pPr>
        <w:autoSpaceDE w:val="0"/>
        <w:autoSpaceDN w:val="0"/>
        <w:adjustRightInd w:val="0"/>
        <w:ind w:left="720" w:hanging="720"/>
      </w:pPr>
    </w:p>
    <w:p w:rsidR="00D87A95" w:rsidRDefault="00D87A95" w:rsidP="009A2CF3">
      <w:pPr>
        <w:autoSpaceDE w:val="0"/>
        <w:autoSpaceDN w:val="0"/>
        <w:adjustRightInd w:val="0"/>
        <w:ind w:left="720" w:hanging="720"/>
      </w:pPr>
      <w:r>
        <w:t xml:space="preserve">Becher, D.A., G.R. Jensen and J.M. Mercer.  “Monetary Policy Indicators as Predictors of Stock Returns.  </w:t>
      </w:r>
      <w:r>
        <w:rPr>
          <w:i/>
        </w:rPr>
        <w:t>Journal of Financial Research</w:t>
      </w:r>
      <w:r>
        <w:t>, vol. 31, no. 4 (Winter 2008), pp. 357-379.</w:t>
      </w:r>
    </w:p>
    <w:p w:rsidR="00D87A95" w:rsidRPr="00D87A95" w:rsidRDefault="00D87A95" w:rsidP="009A2CF3">
      <w:pPr>
        <w:autoSpaceDE w:val="0"/>
        <w:autoSpaceDN w:val="0"/>
        <w:adjustRightInd w:val="0"/>
        <w:ind w:left="720" w:hanging="720"/>
      </w:pPr>
    </w:p>
    <w:p w:rsidR="00692BE2" w:rsidRDefault="00692BE2" w:rsidP="00BD453B">
      <w:pPr>
        <w:autoSpaceDE w:val="0"/>
        <w:autoSpaceDN w:val="0"/>
        <w:adjustRightInd w:val="0"/>
        <w:ind w:left="720" w:hanging="720"/>
      </w:pPr>
      <w:r>
        <w:t xml:space="preserve">Beyer, S, G. Jensen, and R. Johnson.  </w:t>
      </w:r>
      <w:r w:rsidRPr="00692BE2">
        <w:t xml:space="preserve">“Don’t Worry About the Election – Just Watch the Fed.” </w:t>
      </w:r>
      <w:r w:rsidRPr="00692BE2">
        <w:rPr>
          <w:i/>
        </w:rPr>
        <w:t>The Journal of Portfolio Management</w:t>
      </w:r>
      <w:r>
        <w:t>, vol. 30, n</w:t>
      </w:r>
      <w:r w:rsidRPr="00692BE2">
        <w:t>o</w:t>
      </w:r>
      <w:r>
        <w:t>. 4</w:t>
      </w:r>
      <w:r w:rsidRPr="00692BE2">
        <w:t xml:space="preserve"> </w:t>
      </w:r>
      <w:r>
        <w:t>(</w:t>
      </w:r>
      <w:r w:rsidRPr="00692BE2">
        <w:t>Summer 2004</w:t>
      </w:r>
      <w:r>
        <w:t>)</w:t>
      </w:r>
      <w:r w:rsidRPr="00692BE2">
        <w:t xml:space="preserve">, </w:t>
      </w:r>
      <w:r>
        <w:t xml:space="preserve">pp. </w:t>
      </w:r>
      <w:r w:rsidRPr="00692BE2">
        <w:t>101-109.</w:t>
      </w:r>
    </w:p>
    <w:p w:rsidR="00BE6812" w:rsidRDefault="00BE6812" w:rsidP="00BD453B">
      <w:pPr>
        <w:autoSpaceDE w:val="0"/>
        <w:autoSpaceDN w:val="0"/>
        <w:adjustRightInd w:val="0"/>
        <w:ind w:left="720" w:hanging="720"/>
      </w:pPr>
    </w:p>
    <w:p w:rsidR="00BE6812" w:rsidRDefault="00BE6812" w:rsidP="00BD453B">
      <w:pPr>
        <w:autoSpaceDE w:val="0"/>
        <w:autoSpaceDN w:val="0"/>
        <w:adjustRightInd w:val="0"/>
        <w:ind w:left="720" w:hanging="720"/>
      </w:pPr>
      <w:r>
        <w:t xml:space="preserve">Beyer, S., G. Jensen, and R. Johnson.  </w:t>
      </w:r>
      <w:r w:rsidRPr="00BE6812">
        <w:t xml:space="preserve">“Gridlock’s Gone, Now What?” </w:t>
      </w:r>
      <w:r w:rsidRPr="00BE6812">
        <w:rPr>
          <w:i/>
        </w:rPr>
        <w:t>Financial Analysts Journal</w:t>
      </w:r>
      <w:r>
        <w:t>, vol. 62, no. 5</w:t>
      </w:r>
      <w:r w:rsidRPr="00BE6812">
        <w:t xml:space="preserve"> </w:t>
      </w:r>
      <w:r>
        <w:t>(</w:t>
      </w:r>
      <w:r w:rsidRPr="00BE6812">
        <w:t>Sept/Oct 2006</w:t>
      </w:r>
      <w:r>
        <w:t>)</w:t>
      </w:r>
      <w:r w:rsidRPr="00BE6812">
        <w:t xml:space="preserve">, </w:t>
      </w:r>
      <w:r>
        <w:t xml:space="preserve">pp. </w:t>
      </w:r>
      <w:r w:rsidRPr="00BE6812">
        <w:t xml:space="preserve">21-28.  </w:t>
      </w:r>
    </w:p>
    <w:p w:rsidR="008060A2" w:rsidRDefault="008060A2" w:rsidP="00BD453B">
      <w:pPr>
        <w:autoSpaceDE w:val="0"/>
        <w:autoSpaceDN w:val="0"/>
        <w:adjustRightInd w:val="0"/>
        <w:ind w:left="720" w:hanging="720"/>
      </w:pPr>
    </w:p>
    <w:p w:rsidR="008060A2" w:rsidRDefault="008060A2" w:rsidP="00BD453B">
      <w:pPr>
        <w:autoSpaceDE w:val="0"/>
        <w:autoSpaceDN w:val="0"/>
        <w:adjustRightInd w:val="0"/>
        <w:ind w:left="720" w:hanging="720"/>
      </w:pPr>
      <w:r>
        <w:t xml:space="preserve">Beyer, S., G. Jensen, and R. Johnson.  </w:t>
      </w:r>
      <w:r w:rsidRPr="008060A2">
        <w:t xml:space="preserve">“The Presidential Term: Is the Third Year the Charm?”  </w:t>
      </w:r>
      <w:r w:rsidRPr="008060A2">
        <w:rPr>
          <w:i/>
        </w:rPr>
        <w:t>Journal of Portfolio Management</w:t>
      </w:r>
      <w:r w:rsidRPr="008060A2">
        <w:t xml:space="preserve">, </w:t>
      </w:r>
      <w:r>
        <w:t>vol. 34, no. 2 (</w:t>
      </w:r>
      <w:r w:rsidRPr="008060A2">
        <w:t>Winter 2008</w:t>
      </w:r>
      <w:r>
        <w:t>)</w:t>
      </w:r>
      <w:r w:rsidRPr="008060A2">
        <w:t>, pp. 135-142.</w:t>
      </w:r>
    </w:p>
    <w:p w:rsidR="00AE2745" w:rsidRDefault="00AE2745" w:rsidP="00BD453B">
      <w:pPr>
        <w:autoSpaceDE w:val="0"/>
        <w:autoSpaceDN w:val="0"/>
        <w:adjustRightInd w:val="0"/>
        <w:ind w:left="720" w:hanging="720"/>
      </w:pPr>
    </w:p>
    <w:p w:rsidR="00AE2745" w:rsidRDefault="00AE2745" w:rsidP="00BD453B">
      <w:pPr>
        <w:autoSpaceDE w:val="0"/>
        <w:autoSpaceDN w:val="0"/>
        <w:adjustRightInd w:val="0"/>
        <w:ind w:left="720" w:hanging="720"/>
      </w:pPr>
      <w:r>
        <w:t>Booth, J.R., and L.C. Booth.  “Is presidential cycle in security returns merely a reflection of business conditions?”  Review of Financial Economics, vol. 12, no. 2 (2003), pp. 131-159.</w:t>
      </w:r>
    </w:p>
    <w:p w:rsidR="0060260C" w:rsidRDefault="0060260C" w:rsidP="00BD453B">
      <w:pPr>
        <w:autoSpaceDE w:val="0"/>
        <w:autoSpaceDN w:val="0"/>
        <w:adjustRightInd w:val="0"/>
        <w:ind w:left="720" w:hanging="720"/>
      </w:pPr>
    </w:p>
    <w:p w:rsidR="0060260C" w:rsidRDefault="0060260C" w:rsidP="00BD453B">
      <w:pPr>
        <w:autoSpaceDE w:val="0"/>
        <w:autoSpaceDN w:val="0"/>
        <w:adjustRightInd w:val="0"/>
        <w:ind w:left="720" w:hanging="720"/>
      </w:pPr>
      <w:r>
        <w:t>Bordo, M.D., M.J. Dueker, and D. Wheelock.  “Inflation, Monetary Policy and Stock Market Conditions.”  NBER Working Paper No. 14019 (May 2008).</w:t>
      </w:r>
    </w:p>
    <w:p w:rsidR="00692BE2" w:rsidRDefault="00692BE2" w:rsidP="00BD453B">
      <w:pPr>
        <w:autoSpaceDE w:val="0"/>
        <w:autoSpaceDN w:val="0"/>
        <w:adjustRightInd w:val="0"/>
        <w:ind w:left="720" w:hanging="720"/>
      </w:pPr>
    </w:p>
    <w:p w:rsidR="009A2CF3" w:rsidRDefault="009A2CF3" w:rsidP="00BD453B">
      <w:pPr>
        <w:autoSpaceDE w:val="0"/>
        <w:autoSpaceDN w:val="0"/>
        <w:adjustRightInd w:val="0"/>
        <w:ind w:left="720" w:hanging="720"/>
      </w:pPr>
      <w:r w:rsidRPr="009A2CF3">
        <w:t xml:space="preserve">Butler, </w:t>
      </w:r>
      <w:r w:rsidR="00056745" w:rsidRPr="009A2CF3">
        <w:t>S</w:t>
      </w:r>
      <w:r w:rsidR="00056745">
        <w:t>.</w:t>
      </w:r>
      <w:r w:rsidRPr="009A2CF3">
        <w:t xml:space="preserve"> </w:t>
      </w:r>
      <w:r w:rsidR="00056745">
        <w:t>“</w:t>
      </w:r>
      <w:r w:rsidRPr="009A2CF3">
        <w:t>Can the bull still run</w:t>
      </w:r>
      <w:r w:rsidR="00DF430B" w:rsidRPr="009A2CF3">
        <w:t>?</w:t>
      </w:r>
      <w:r w:rsidR="00056745">
        <w:t>”</w:t>
      </w:r>
      <w:r w:rsidRPr="009A2CF3">
        <w:t xml:space="preserve"> </w:t>
      </w:r>
      <w:r w:rsidR="00306E35">
        <w:rPr>
          <w:i/>
        </w:rPr>
        <w:t>U.S. News &amp; World Report</w:t>
      </w:r>
      <w:r w:rsidR="00056745">
        <w:rPr>
          <w:i/>
        </w:rPr>
        <w:t>,</w:t>
      </w:r>
      <w:r w:rsidR="00056745" w:rsidRPr="00056745">
        <w:t xml:space="preserve"> </w:t>
      </w:r>
      <w:smartTag w:uri="urn:schemas-microsoft-com:office:smarttags" w:element="date">
        <w:smartTagPr>
          <w:attr w:name="Year" w:val="2000"/>
          <w:attr w:name="Day" w:val="6"/>
          <w:attr w:name="Month" w:val="11"/>
        </w:smartTagPr>
        <w:r w:rsidR="00056745" w:rsidRPr="009A2CF3">
          <w:t>November 6, 2000</w:t>
        </w:r>
      </w:smartTag>
      <w:r w:rsidR="00056745">
        <w:t>, p.</w:t>
      </w:r>
      <w:r w:rsidR="00306E35">
        <w:t xml:space="preserve"> 38</w:t>
      </w:r>
      <w:r w:rsidRPr="009A2CF3">
        <w:t>.</w:t>
      </w:r>
    </w:p>
    <w:p w:rsidR="0093412A" w:rsidRDefault="0093412A" w:rsidP="009A2CF3">
      <w:pPr>
        <w:autoSpaceDE w:val="0"/>
        <w:autoSpaceDN w:val="0"/>
        <w:adjustRightInd w:val="0"/>
        <w:ind w:left="720" w:hanging="720"/>
      </w:pPr>
    </w:p>
    <w:p w:rsidR="00541FFA" w:rsidRPr="00607A77" w:rsidRDefault="00982AF7" w:rsidP="009A2CF3">
      <w:pPr>
        <w:autoSpaceDE w:val="0"/>
        <w:autoSpaceDN w:val="0"/>
        <w:adjustRightInd w:val="0"/>
        <w:ind w:left="720" w:hanging="720"/>
      </w:pPr>
      <w:r>
        <w:t>Coleman, John.</w:t>
      </w:r>
      <w:r w:rsidR="00811FB8" w:rsidRPr="00607A77">
        <w:t xml:space="preserve"> </w:t>
      </w:r>
      <w:r w:rsidR="00607A77" w:rsidRPr="00607A77">
        <w:t>“</w:t>
      </w:r>
      <w:r w:rsidR="00811FB8" w:rsidRPr="00607A77">
        <w:t>Unified Government, Divided Government, and Party Responsiveness</w:t>
      </w:r>
      <w:r w:rsidR="00321F14">
        <w:t>.</w:t>
      </w:r>
      <w:r w:rsidR="00607A77" w:rsidRPr="00607A77">
        <w:t>”</w:t>
      </w:r>
      <w:r w:rsidR="00811FB8" w:rsidRPr="00607A77">
        <w:t xml:space="preserve"> </w:t>
      </w:r>
      <w:r w:rsidR="00811FB8" w:rsidRPr="00607A77">
        <w:rPr>
          <w:i/>
          <w:iCs/>
        </w:rPr>
        <w:t>American Political Science Review</w:t>
      </w:r>
      <w:r w:rsidR="00321F14">
        <w:rPr>
          <w:i/>
          <w:iCs/>
        </w:rPr>
        <w:t>,</w:t>
      </w:r>
      <w:r w:rsidR="00811FB8" w:rsidRPr="00607A77">
        <w:t xml:space="preserve"> </w:t>
      </w:r>
      <w:r w:rsidR="00CE6BD1">
        <w:t>v</w:t>
      </w:r>
      <w:r w:rsidR="00607A77">
        <w:t xml:space="preserve">ol. </w:t>
      </w:r>
      <w:r w:rsidR="00811FB8" w:rsidRPr="00607A77">
        <w:t>93,</w:t>
      </w:r>
      <w:r w:rsidR="00607A77">
        <w:t xml:space="preserve"> </w:t>
      </w:r>
      <w:r w:rsidR="00CE6BD1">
        <w:t>n</w:t>
      </w:r>
      <w:r w:rsidR="00607A77">
        <w:t>o. 4</w:t>
      </w:r>
      <w:r w:rsidR="00811FB8" w:rsidRPr="00607A77">
        <w:t xml:space="preserve"> </w:t>
      </w:r>
      <w:r>
        <w:t xml:space="preserve">(December 1999), </w:t>
      </w:r>
      <w:r w:rsidR="00607A77">
        <w:t xml:space="preserve">pp. </w:t>
      </w:r>
      <w:r w:rsidR="00811FB8" w:rsidRPr="00607A77">
        <w:t>821-</w:t>
      </w:r>
      <w:r w:rsidR="00321F14">
        <w:t>8</w:t>
      </w:r>
      <w:r w:rsidR="00811FB8" w:rsidRPr="00607A77">
        <w:t>35.</w:t>
      </w:r>
    </w:p>
    <w:p w:rsidR="00811FB8" w:rsidRDefault="00811FB8" w:rsidP="009A2CF3">
      <w:pPr>
        <w:autoSpaceDE w:val="0"/>
        <w:autoSpaceDN w:val="0"/>
        <w:adjustRightInd w:val="0"/>
        <w:ind w:left="720" w:hanging="720"/>
      </w:pPr>
    </w:p>
    <w:p w:rsidR="009A2CF3" w:rsidRDefault="00541FFA" w:rsidP="00BD453B">
      <w:pPr>
        <w:autoSpaceDE w:val="0"/>
        <w:autoSpaceDN w:val="0"/>
        <w:adjustRightInd w:val="0"/>
        <w:ind w:left="720" w:hanging="720"/>
      </w:pPr>
      <w:r>
        <w:t>Drazen</w:t>
      </w:r>
      <w:r w:rsidR="00361DFC">
        <w:t xml:space="preserve">, A.  </w:t>
      </w:r>
      <w:r w:rsidR="00361DFC">
        <w:rPr>
          <w:i/>
        </w:rPr>
        <w:t>Political Economy in Macroeconomics</w:t>
      </w:r>
      <w:r w:rsidR="00361DFC">
        <w:t xml:space="preserve">.  </w:t>
      </w:r>
      <w:smartTag w:uri="urn:schemas-microsoft-com:office:smarttags" w:element="City">
        <w:r w:rsidR="00361DFC">
          <w:t>Princeton</w:t>
        </w:r>
      </w:smartTag>
      <w:r w:rsidR="00361DFC">
        <w:t xml:space="preserve">, </w:t>
      </w:r>
      <w:smartTag w:uri="urn:schemas-microsoft-com:office:smarttags" w:element="State">
        <w:r w:rsidR="00361DFC">
          <w:t>NJ</w:t>
        </w:r>
      </w:smartTag>
      <w:r w:rsidR="00361DFC">
        <w:t xml:space="preserve">: </w:t>
      </w:r>
      <w:smartTag w:uri="urn:schemas-microsoft-com:office:smarttags" w:element="place">
        <w:smartTag w:uri="urn:schemas-microsoft-com:office:smarttags" w:element="PlaceName">
          <w:r w:rsidR="00361DFC">
            <w:t>Princeton</w:t>
          </w:r>
        </w:smartTag>
        <w:r w:rsidR="00361DFC">
          <w:t xml:space="preserve"> </w:t>
        </w:r>
        <w:smartTag w:uri="urn:schemas-microsoft-com:office:smarttags" w:element="PlaceType">
          <w:r w:rsidR="00361DFC">
            <w:t>University</w:t>
          </w:r>
        </w:smartTag>
      </w:smartTag>
      <w:r w:rsidR="00361DFC">
        <w:t xml:space="preserve"> Press, 2000</w:t>
      </w:r>
      <w:r>
        <w:t>.</w:t>
      </w:r>
    </w:p>
    <w:p w:rsidR="00CF2770" w:rsidRDefault="00CF2770" w:rsidP="00BD453B">
      <w:pPr>
        <w:autoSpaceDE w:val="0"/>
        <w:autoSpaceDN w:val="0"/>
        <w:adjustRightInd w:val="0"/>
        <w:ind w:left="720" w:hanging="720"/>
      </w:pPr>
    </w:p>
    <w:p w:rsidR="00CF2770" w:rsidRPr="009A2CF3" w:rsidRDefault="00CF2770" w:rsidP="00BD453B">
      <w:pPr>
        <w:autoSpaceDE w:val="0"/>
        <w:autoSpaceDN w:val="0"/>
        <w:adjustRightInd w:val="0"/>
        <w:ind w:left="720" w:hanging="720"/>
      </w:pPr>
      <w:r>
        <w:t xml:space="preserve">Foster, L. “Does the U.S. Presidential Election Impact the Stock Market?” The Enterprising Investor, CFA Institute, August 31, 2012. </w:t>
      </w:r>
      <w:r w:rsidRPr="00CF2770">
        <w:t>http://blogs.cfainstitute.org/investor/2012/08/31/weekend-reading-does-the-us-presidential-election-affect-the-stock-market/</w:t>
      </w:r>
    </w:p>
    <w:p w:rsidR="009A2CF3" w:rsidRDefault="009A2CF3" w:rsidP="009A2CF3">
      <w:pPr>
        <w:autoSpaceDE w:val="0"/>
        <w:autoSpaceDN w:val="0"/>
        <w:adjustRightInd w:val="0"/>
        <w:ind w:left="720" w:hanging="720"/>
      </w:pPr>
    </w:p>
    <w:p w:rsidR="004F40DC" w:rsidRDefault="004F40DC" w:rsidP="009A2CF3">
      <w:pPr>
        <w:autoSpaceDE w:val="0"/>
        <w:autoSpaceDN w:val="0"/>
        <w:adjustRightInd w:val="0"/>
        <w:ind w:left="720" w:hanging="720"/>
      </w:pPr>
      <w:r>
        <w:lastRenderedPageBreak/>
        <w:t xml:space="preserve">Friedman </w:t>
      </w:r>
      <w:r w:rsidR="00796BA2">
        <w:t xml:space="preserve">M. and R. D. </w:t>
      </w:r>
      <w:r>
        <w:t>Friedman</w:t>
      </w:r>
      <w:r w:rsidR="00796BA2">
        <w:t xml:space="preserve">. "The Anatomy of Crisis." </w:t>
      </w:r>
      <w:r w:rsidR="00796BA2" w:rsidRPr="00CE6BD1">
        <w:rPr>
          <w:i/>
        </w:rPr>
        <w:t>The Journal of Portfolio Management</w:t>
      </w:r>
      <w:r w:rsidR="00796BA2">
        <w:t xml:space="preserve">, </w:t>
      </w:r>
      <w:r w:rsidR="00CE6BD1">
        <w:t>v</w:t>
      </w:r>
      <w:r w:rsidR="00E31EE7">
        <w:t xml:space="preserve">ol. 6, </w:t>
      </w:r>
      <w:r w:rsidR="00CE6BD1">
        <w:t>n</w:t>
      </w:r>
      <w:r w:rsidR="00E31EE7">
        <w:t xml:space="preserve">o. 1 </w:t>
      </w:r>
      <w:r w:rsidR="00256FB9">
        <w:t>(</w:t>
      </w:r>
      <w:r w:rsidR="00796BA2">
        <w:t>Fall 1979</w:t>
      </w:r>
      <w:r w:rsidR="00256FB9">
        <w:t>)</w:t>
      </w:r>
      <w:r w:rsidR="00796BA2">
        <w:t xml:space="preserve">, pp. 15-21. </w:t>
      </w:r>
    </w:p>
    <w:p w:rsidR="004F40DC" w:rsidRDefault="004F40DC" w:rsidP="009A2CF3">
      <w:pPr>
        <w:autoSpaceDE w:val="0"/>
        <w:autoSpaceDN w:val="0"/>
        <w:adjustRightInd w:val="0"/>
        <w:ind w:left="720" w:hanging="720"/>
      </w:pPr>
    </w:p>
    <w:p w:rsidR="00541FFA" w:rsidRDefault="00541FFA" w:rsidP="009A2CF3">
      <w:pPr>
        <w:autoSpaceDE w:val="0"/>
        <w:autoSpaceDN w:val="0"/>
        <w:adjustRightInd w:val="0"/>
        <w:ind w:left="720" w:hanging="720"/>
      </w:pPr>
      <w:r>
        <w:t xml:space="preserve">Friedman </w:t>
      </w:r>
      <w:r w:rsidR="00796BA2">
        <w:t xml:space="preserve">M. </w:t>
      </w:r>
      <w:r>
        <w:t xml:space="preserve">and </w:t>
      </w:r>
      <w:r w:rsidR="00796BA2">
        <w:t xml:space="preserve">A. </w:t>
      </w:r>
      <w:r>
        <w:t>Schwartz.</w:t>
      </w:r>
      <w:r w:rsidR="00433D00">
        <w:t xml:space="preserve">  </w:t>
      </w:r>
      <w:r w:rsidR="00433D00" w:rsidRPr="00056745">
        <w:rPr>
          <w:i/>
        </w:rPr>
        <w:t xml:space="preserve">A Monetary History of the </w:t>
      </w:r>
      <w:smartTag w:uri="urn:schemas-microsoft-com:office:smarttags" w:element="place">
        <w:smartTag w:uri="urn:schemas-microsoft-com:office:smarttags" w:element="country-region">
          <w:r w:rsidR="00433D00" w:rsidRPr="00056745">
            <w:rPr>
              <w:i/>
            </w:rPr>
            <w:t>United States</w:t>
          </w:r>
        </w:smartTag>
      </w:smartTag>
      <w:r w:rsidR="00433D00" w:rsidRPr="00056745">
        <w:rPr>
          <w:i/>
        </w:rPr>
        <w:t>, 1867-1960</w:t>
      </w:r>
      <w:r w:rsidR="00056745">
        <w:t xml:space="preserve">. </w:t>
      </w:r>
      <w:smartTag w:uri="urn:schemas-microsoft-com:office:smarttags" w:element="City">
        <w:r w:rsidR="00433D00">
          <w:t>Princeton</w:t>
        </w:r>
      </w:smartTag>
      <w:r w:rsidR="00433D00">
        <w:t xml:space="preserve">, </w:t>
      </w:r>
      <w:smartTag w:uri="urn:schemas-microsoft-com:office:smarttags" w:element="State">
        <w:r w:rsidR="00433D00">
          <w:t>NJ</w:t>
        </w:r>
      </w:smartTag>
      <w:r w:rsidR="00056745">
        <w:t xml:space="preserve">: </w:t>
      </w:r>
      <w:smartTag w:uri="urn:schemas-microsoft-com:office:smarttags" w:element="place">
        <w:smartTag w:uri="urn:schemas-microsoft-com:office:smarttags" w:element="PlaceName">
          <w:r w:rsidR="00056745">
            <w:t>Princeton</w:t>
          </w:r>
        </w:smartTag>
        <w:r w:rsidR="00056745">
          <w:t xml:space="preserve"> </w:t>
        </w:r>
        <w:smartTag w:uri="urn:schemas-microsoft-com:office:smarttags" w:element="PlaceType">
          <w:r w:rsidR="00056745">
            <w:t>University</w:t>
          </w:r>
        </w:smartTag>
      </w:smartTag>
      <w:r w:rsidR="00056745">
        <w:t xml:space="preserve"> Press, 1963</w:t>
      </w:r>
      <w:r w:rsidR="00433D00">
        <w:t>.</w:t>
      </w:r>
    </w:p>
    <w:p w:rsidR="0093412A" w:rsidRDefault="0093412A" w:rsidP="009A2CF3">
      <w:pPr>
        <w:autoSpaceDE w:val="0"/>
        <w:autoSpaceDN w:val="0"/>
        <w:adjustRightInd w:val="0"/>
        <w:ind w:left="720" w:hanging="720"/>
      </w:pPr>
    </w:p>
    <w:p w:rsidR="0093412A" w:rsidRDefault="0093412A" w:rsidP="009A2CF3">
      <w:pPr>
        <w:autoSpaceDE w:val="0"/>
        <w:autoSpaceDN w:val="0"/>
        <w:adjustRightInd w:val="0"/>
        <w:ind w:left="720" w:hanging="720"/>
      </w:pPr>
      <w:r>
        <w:t>Froyen</w:t>
      </w:r>
      <w:r w:rsidR="00433D00">
        <w:t>, R. “The Determinants of the Federal Reserve Discount Rate Policy.</w:t>
      </w:r>
      <w:r w:rsidR="00056745">
        <w:t>”</w:t>
      </w:r>
      <w:r w:rsidR="00433D00">
        <w:t xml:space="preserve">  </w:t>
      </w:r>
      <w:r w:rsidR="00433D00">
        <w:rPr>
          <w:i/>
        </w:rPr>
        <w:t>Southern Economic Journal</w:t>
      </w:r>
      <w:r w:rsidR="00433D00">
        <w:t xml:space="preserve">, </w:t>
      </w:r>
      <w:r w:rsidR="00CE6BD1">
        <w:t>v</w:t>
      </w:r>
      <w:r w:rsidR="00056745">
        <w:t xml:space="preserve">ol. </w:t>
      </w:r>
      <w:r w:rsidR="00137B12">
        <w:t>42</w:t>
      </w:r>
      <w:r w:rsidR="00056745">
        <w:t xml:space="preserve">, </w:t>
      </w:r>
      <w:r w:rsidR="00CE6BD1">
        <w:t>n</w:t>
      </w:r>
      <w:r w:rsidR="00056745">
        <w:t xml:space="preserve">o. </w:t>
      </w:r>
      <w:r w:rsidR="00137B12">
        <w:t>2</w:t>
      </w:r>
      <w:r>
        <w:t xml:space="preserve"> (</w:t>
      </w:r>
      <w:r w:rsidR="00E31EE7">
        <w:t xml:space="preserve">October </w:t>
      </w:r>
      <w:r>
        <w:t>1975)</w:t>
      </w:r>
      <w:r w:rsidR="00056745">
        <w:t>,</w:t>
      </w:r>
      <w:r w:rsidR="00137B12">
        <w:t xml:space="preserve"> pp. 1-38</w:t>
      </w:r>
      <w:r>
        <w:t>.</w:t>
      </w:r>
    </w:p>
    <w:p w:rsidR="00541FFA" w:rsidRDefault="00541FFA" w:rsidP="009A2CF3">
      <w:pPr>
        <w:autoSpaceDE w:val="0"/>
        <w:autoSpaceDN w:val="0"/>
        <w:adjustRightInd w:val="0"/>
        <w:ind w:left="720" w:hanging="720"/>
      </w:pPr>
    </w:p>
    <w:p w:rsidR="009A2CF3" w:rsidRDefault="009A2CF3" w:rsidP="00001680">
      <w:pPr>
        <w:autoSpaceDE w:val="0"/>
        <w:autoSpaceDN w:val="0"/>
        <w:adjustRightInd w:val="0"/>
        <w:ind w:left="720" w:hanging="720"/>
      </w:pPr>
      <w:r w:rsidRPr="009A2CF3">
        <w:t xml:space="preserve">Huang, </w:t>
      </w:r>
      <w:r w:rsidR="00056745" w:rsidRPr="009A2CF3">
        <w:t>R</w:t>
      </w:r>
      <w:r w:rsidR="00056745">
        <w:t>.</w:t>
      </w:r>
      <w:r w:rsidRPr="009A2CF3">
        <w:t xml:space="preserve"> </w:t>
      </w:r>
      <w:r w:rsidR="00056745">
        <w:t>“</w:t>
      </w:r>
      <w:r w:rsidRPr="009A2CF3">
        <w:t>Common Stock Returns and Presidential Elections</w:t>
      </w:r>
      <w:r w:rsidR="00056745">
        <w:t>.”</w:t>
      </w:r>
      <w:r w:rsidRPr="009A2CF3">
        <w:t xml:space="preserve"> </w:t>
      </w:r>
      <w:r w:rsidRPr="009A2CF3">
        <w:rPr>
          <w:i/>
          <w:iCs/>
        </w:rPr>
        <w:t>Financial Analysts Journal</w:t>
      </w:r>
      <w:r w:rsidR="00001680">
        <w:rPr>
          <w:iCs/>
        </w:rPr>
        <w:t xml:space="preserve">, </w:t>
      </w:r>
      <w:r w:rsidR="00CE6BD1">
        <w:rPr>
          <w:iCs/>
        </w:rPr>
        <w:t>v</w:t>
      </w:r>
      <w:r w:rsidR="00E31EE7">
        <w:rPr>
          <w:iCs/>
        </w:rPr>
        <w:t xml:space="preserve">ol. 41, </w:t>
      </w:r>
      <w:r w:rsidR="00CE6BD1">
        <w:rPr>
          <w:iCs/>
        </w:rPr>
        <w:t>n</w:t>
      </w:r>
      <w:r w:rsidR="00E31EE7">
        <w:rPr>
          <w:iCs/>
        </w:rPr>
        <w:t xml:space="preserve">o. 2 </w:t>
      </w:r>
      <w:r w:rsidR="00256FB9">
        <w:rPr>
          <w:iCs/>
        </w:rPr>
        <w:t>(</w:t>
      </w:r>
      <w:r w:rsidR="00001680">
        <w:rPr>
          <w:iCs/>
        </w:rPr>
        <w:t xml:space="preserve">March/April </w:t>
      </w:r>
      <w:r w:rsidR="00056745" w:rsidRPr="00056745">
        <w:t>1985</w:t>
      </w:r>
      <w:r w:rsidR="00256FB9">
        <w:t>)</w:t>
      </w:r>
      <w:r w:rsidR="00056745">
        <w:t>,</w:t>
      </w:r>
      <w:r w:rsidR="00056745" w:rsidRPr="00056745">
        <w:t xml:space="preserve"> pp.</w:t>
      </w:r>
      <w:r w:rsidRPr="009A2CF3">
        <w:t>58-61.</w:t>
      </w:r>
    </w:p>
    <w:p w:rsidR="006C0A79" w:rsidRDefault="006C0A79" w:rsidP="009A2CF3">
      <w:pPr>
        <w:autoSpaceDE w:val="0"/>
        <w:autoSpaceDN w:val="0"/>
        <w:adjustRightInd w:val="0"/>
        <w:ind w:left="720" w:hanging="720"/>
      </w:pPr>
    </w:p>
    <w:p w:rsidR="006C0A79" w:rsidRPr="00361DFC" w:rsidRDefault="006C0A79" w:rsidP="009A2CF3">
      <w:pPr>
        <w:autoSpaceDE w:val="0"/>
        <w:autoSpaceDN w:val="0"/>
        <w:adjustRightInd w:val="0"/>
        <w:ind w:left="720" w:hanging="720"/>
      </w:pPr>
      <w:r>
        <w:t>Ibbotson Associates.</w:t>
      </w:r>
      <w:r w:rsidR="00361DFC">
        <w:t xml:space="preserve">  </w:t>
      </w:r>
      <w:r w:rsidR="00361DFC" w:rsidRPr="00623A4F">
        <w:rPr>
          <w:i/>
        </w:rPr>
        <w:t>EnCorr Analyzer</w:t>
      </w:r>
      <w:r w:rsidR="00361DFC" w:rsidRPr="00623A4F">
        <w:rPr>
          <w:i/>
          <w:vertAlign w:val="superscript"/>
        </w:rPr>
        <w:t>TM</w:t>
      </w:r>
      <w:r w:rsidR="00623A4F">
        <w:t xml:space="preserve">.  Chicago, IL: Ibbotson Associates, </w:t>
      </w:r>
      <w:r w:rsidR="00361DFC">
        <w:t>2</w:t>
      </w:r>
      <w:r w:rsidR="00916694">
        <w:t>012</w:t>
      </w:r>
      <w:r w:rsidR="00361DFC">
        <w:t>.</w:t>
      </w:r>
    </w:p>
    <w:p w:rsidR="009A2CF3" w:rsidRDefault="009A2CF3" w:rsidP="009A2CF3">
      <w:pPr>
        <w:autoSpaceDE w:val="0"/>
        <w:autoSpaceDN w:val="0"/>
        <w:adjustRightInd w:val="0"/>
        <w:ind w:left="720" w:hanging="720"/>
      </w:pPr>
    </w:p>
    <w:p w:rsidR="009A2CF3" w:rsidRPr="009A2CF3" w:rsidRDefault="009A2CF3" w:rsidP="009A2CF3">
      <w:pPr>
        <w:autoSpaceDE w:val="0"/>
        <w:autoSpaceDN w:val="0"/>
        <w:adjustRightInd w:val="0"/>
        <w:ind w:left="720" w:hanging="720"/>
      </w:pPr>
      <w:r w:rsidRPr="009A2CF3">
        <w:t xml:space="preserve">Ip, </w:t>
      </w:r>
      <w:r w:rsidR="009E5D05" w:rsidRPr="009A2CF3">
        <w:t>G</w:t>
      </w:r>
      <w:r w:rsidR="009E5D05">
        <w:t>.</w:t>
      </w:r>
      <w:r w:rsidRPr="009A2CF3">
        <w:t xml:space="preserve"> </w:t>
      </w:r>
      <w:r w:rsidR="009E5D05">
        <w:t>“</w:t>
      </w:r>
      <w:r w:rsidRPr="009A2CF3">
        <w:t>Election Outcome Probably Won't Affect</w:t>
      </w:r>
      <w:r w:rsidR="00F85E1D">
        <w:t xml:space="preserve"> </w:t>
      </w:r>
      <w:r w:rsidRPr="009A2CF3">
        <w:t>Long-Term Performance of the Market</w:t>
      </w:r>
      <w:r w:rsidR="009E5D05">
        <w:t>.”</w:t>
      </w:r>
      <w:r w:rsidRPr="009A2CF3">
        <w:t xml:space="preserve"> </w:t>
      </w:r>
      <w:r w:rsidRPr="009E5D05">
        <w:rPr>
          <w:i/>
        </w:rPr>
        <w:t>Wall Street Journal</w:t>
      </w:r>
      <w:r w:rsidR="009E5D05">
        <w:rPr>
          <w:i/>
        </w:rPr>
        <w:t>,</w:t>
      </w:r>
      <w:r w:rsidR="009E5D05" w:rsidRPr="009E5D05">
        <w:t xml:space="preserve"> </w:t>
      </w:r>
      <w:smartTag w:uri="urn:schemas-microsoft-com:office:smarttags" w:element="date">
        <w:smartTagPr>
          <w:attr w:name="Year" w:val="2000"/>
          <w:attr w:name="Day" w:val="5"/>
          <w:attr w:name="Month" w:val="11"/>
        </w:smartTagPr>
        <w:r w:rsidR="009E5D05" w:rsidRPr="009A2CF3">
          <w:t>November 5, 2000</w:t>
        </w:r>
      </w:smartTag>
      <w:r w:rsidRPr="009A2CF3">
        <w:t>.</w:t>
      </w:r>
    </w:p>
    <w:p w:rsidR="009A2CF3" w:rsidRDefault="009A2CF3" w:rsidP="009A2CF3">
      <w:pPr>
        <w:autoSpaceDE w:val="0"/>
        <w:autoSpaceDN w:val="0"/>
        <w:adjustRightInd w:val="0"/>
        <w:ind w:left="720" w:hanging="720"/>
      </w:pPr>
    </w:p>
    <w:p w:rsidR="005A07AE" w:rsidRDefault="00D71007" w:rsidP="00BD453B">
      <w:pPr>
        <w:ind w:left="720" w:hanging="720"/>
      </w:pPr>
      <w:r>
        <w:t xml:space="preserve">Jensen, </w:t>
      </w:r>
      <w:r w:rsidR="009E5D05">
        <w:t xml:space="preserve">G. </w:t>
      </w:r>
      <w:r>
        <w:t>and R</w:t>
      </w:r>
      <w:r w:rsidR="009E5D05">
        <w:t>.</w:t>
      </w:r>
      <w:r>
        <w:t xml:space="preserve"> Johnson. “Discount Rate Changes and Security Returns in the </w:t>
      </w:r>
      <w:smartTag w:uri="urn:schemas-microsoft-com:office:smarttags" w:element="place">
        <w:smartTag w:uri="urn:schemas-microsoft-com:office:smarttags" w:element="country-region">
          <w:r>
            <w:t>U.S.</w:t>
          </w:r>
        </w:smartTag>
      </w:smartTag>
      <w:r>
        <w:t>, 1962-1991</w:t>
      </w:r>
      <w:r w:rsidR="009E5D05">
        <w:t>.</w:t>
      </w:r>
      <w:r>
        <w:t xml:space="preserve">” </w:t>
      </w:r>
      <w:r>
        <w:rPr>
          <w:i/>
        </w:rPr>
        <w:t>Journal of Banking and Finance</w:t>
      </w:r>
      <w:r w:rsidR="009E5D05" w:rsidRPr="009E5D05">
        <w:t xml:space="preserve">, </w:t>
      </w:r>
      <w:r w:rsidR="00CE6BD1">
        <w:t>v</w:t>
      </w:r>
      <w:r w:rsidR="009E5D05" w:rsidRPr="009E5D05">
        <w:t>ol.</w:t>
      </w:r>
      <w:r>
        <w:t xml:space="preserve"> 19</w:t>
      </w:r>
      <w:r w:rsidR="009E5D05">
        <w:t xml:space="preserve">, </w:t>
      </w:r>
      <w:r w:rsidR="00CE6BD1">
        <w:t>n</w:t>
      </w:r>
      <w:r w:rsidR="009E5D05">
        <w:t>o.</w:t>
      </w:r>
      <w:r>
        <w:t xml:space="preserve"> </w:t>
      </w:r>
      <w:r w:rsidR="00306E35">
        <w:t xml:space="preserve">1 </w:t>
      </w:r>
      <w:r>
        <w:t>(</w:t>
      </w:r>
      <w:r w:rsidR="00256FB9">
        <w:t xml:space="preserve">April </w:t>
      </w:r>
      <w:r>
        <w:t>1995)</w:t>
      </w:r>
      <w:r w:rsidR="009E5D05">
        <w:t>, pp.</w:t>
      </w:r>
      <w:r>
        <w:t xml:space="preserve"> 79-95.</w:t>
      </w:r>
    </w:p>
    <w:p w:rsidR="005A07AE" w:rsidRDefault="005A07AE" w:rsidP="005A07AE">
      <w:pPr>
        <w:ind w:left="720" w:hanging="720"/>
      </w:pPr>
    </w:p>
    <w:p w:rsidR="005A07AE" w:rsidRDefault="005A07AE" w:rsidP="005A07AE">
      <w:pPr>
        <w:ind w:left="720" w:hanging="720"/>
      </w:pPr>
      <w:r>
        <w:t xml:space="preserve">Jensen, </w:t>
      </w:r>
      <w:r w:rsidR="009E5D05">
        <w:t>G</w:t>
      </w:r>
      <w:r>
        <w:t>., R. Johnson, and J</w:t>
      </w:r>
      <w:r w:rsidR="008F3BEA">
        <w:t xml:space="preserve">. </w:t>
      </w:r>
      <w:r>
        <w:t xml:space="preserve">Mercer. "The Inconsistency of Small-Firm and Value Stock Premiums." </w:t>
      </w:r>
      <w:r w:rsidRPr="008F3BEA">
        <w:rPr>
          <w:i/>
        </w:rPr>
        <w:t>The Journal of Portfolio Management</w:t>
      </w:r>
      <w:r w:rsidR="008F3BEA">
        <w:t xml:space="preserve">, </w:t>
      </w:r>
      <w:r w:rsidR="00CE6BD1">
        <w:t>v</w:t>
      </w:r>
      <w:r w:rsidR="008F3BEA">
        <w:t>ol.</w:t>
      </w:r>
      <w:r>
        <w:t xml:space="preserve"> 24</w:t>
      </w:r>
      <w:r w:rsidR="008F3BEA">
        <w:t xml:space="preserve">, </w:t>
      </w:r>
      <w:r w:rsidR="00CE6BD1">
        <w:t>n</w:t>
      </w:r>
      <w:r w:rsidR="008F3BEA">
        <w:t>o.</w:t>
      </w:r>
      <w:r>
        <w:t xml:space="preserve"> </w:t>
      </w:r>
      <w:r w:rsidR="00306E35">
        <w:t xml:space="preserve">2 </w:t>
      </w:r>
      <w:r>
        <w:t>(</w:t>
      </w:r>
      <w:r w:rsidR="00256FB9">
        <w:t xml:space="preserve">Winter </w:t>
      </w:r>
      <w:r>
        <w:t>1998</w:t>
      </w:r>
      <w:r w:rsidR="008F3BEA">
        <w:t xml:space="preserve">), pp. </w:t>
      </w:r>
      <w:r>
        <w:t>27-36.</w:t>
      </w:r>
    </w:p>
    <w:p w:rsidR="00BD453B" w:rsidRDefault="00BD453B" w:rsidP="005A07AE">
      <w:pPr>
        <w:ind w:left="720" w:hanging="720"/>
      </w:pPr>
    </w:p>
    <w:p w:rsidR="00BD453B" w:rsidRDefault="00BD453B" w:rsidP="005A07AE">
      <w:pPr>
        <w:ind w:left="720" w:hanging="720"/>
      </w:pPr>
      <w:r>
        <w:t>Jensen, G</w:t>
      </w:r>
      <w:r w:rsidR="008F3BEA">
        <w:t>.</w:t>
      </w:r>
      <w:r>
        <w:t>, R. Johnson, and J</w:t>
      </w:r>
      <w:r w:rsidR="008F3BEA">
        <w:t>.</w:t>
      </w:r>
      <w:r>
        <w:t xml:space="preserve"> Mercer.  </w:t>
      </w:r>
      <w:r w:rsidRPr="008F3BEA">
        <w:rPr>
          <w:i/>
        </w:rPr>
        <w:t>The Role of Monetary Policy in Investment Management</w:t>
      </w:r>
      <w:r w:rsidR="00623A4F">
        <w:t xml:space="preserve">.  </w:t>
      </w:r>
      <w:smartTag w:uri="urn:schemas-microsoft-com:office:smarttags" w:element="place">
        <w:smartTag w:uri="urn:schemas-microsoft-com:office:smarttags" w:element="City">
          <w:r w:rsidR="008F3BEA">
            <w:t>Charlottesville</w:t>
          </w:r>
        </w:smartTag>
        <w:r w:rsidR="008F3BEA">
          <w:t xml:space="preserve">, </w:t>
        </w:r>
        <w:smartTag w:uri="urn:schemas-microsoft-com:office:smarttags" w:element="State">
          <w:r w:rsidR="008F3BEA">
            <w:t>VA</w:t>
          </w:r>
        </w:smartTag>
      </w:smartTag>
      <w:r w:rsidR="008F3BEA">
        <w:t xml:space="preserve">: </w:t>
      </w:r>
      <w:r w:rsidR="00623A4F">
        <w:t xml:space="preserve">The Research Foundation of </w:t>
      </w:r>
      <w:r w:rsidR="000C7451">
        <w:t>CFA Institute</w:t>
      </w:r>
      <w:r w:rsidR="00623A4F">
        <w:t xml:space="preserve"> and Blackwell Series in Finance, 2000.</w:t>
      </w:r>
    </w:p>
    <w:p w:rsidR="005A07AE" w:rsidRDefault="005A07AE" w:rsidP="005A07AE">
      <w:pPr>
        <w:ind w:left="720" w:hanging="720"/>
      </w:pPr>
    </w:p>
    <w:p w:rsidR="00D71007" w:rsidRDefault="00D71007" w:rsidP="00D71007">
      <w:pPr>
        <w:autoSpaceDE w:val="0"/>
        <w:autoSpaceDN w:val="0"/>
        <w:adjustRightInd w:val="0"/>
        <w:ind w:left="720" w:hanging="720"/>
      </w:pPr>
      <w:r>
        <w:t xml:space="preserve">Jensen, </w:t>
      </w:r>
      <w:r w:rsidR="008F3BEA">
        <w:t>G</w:t>
      </w:r>
      <w:r w:rsidR="005A07AE">
        <w:t>.</w:t>
      </w:r>
      <w:r>
        <w:t xml:space="preserve">, </w:t>
      </w:r>
      <w:r w:rsidR="008F3BEA">
        <w:t>J</w:t>
      </w:r>
      <w:r w:rsidR="005A07AE">
        <w:t xml:space="preserve">. </w:t>
      </w:r>
      <w:r>
        <w:t xml:space="preserve">Mercer and </w:t>
      </w:r>
      <w:r w:rsidR="005A07AE">
        <w:t xml:space="preserve">R. </w:t>
      </w:r>
      <w:r>
        <w:t>Johnson.  “Business Conditions, Monetary Policy and Expected Security Returns</w:t>
      </w:r>
      <w:r w:rsidR="008F3BEA">
        <w:t>.</w:t>
      </w:r>
      <w:r>
        <w:t xml:space="preserve">” </w:t>
      </w:r>
      <w:r>
        <w:rPr>
          <w:i/>
        </w:rPr>
        <w:t>Journal of Financial Economics</w:t>
      </w:r>
      <w:r w:rsidR="008F3BEA">
        <w:t xml:space="preserve">, </w:t>
      </w:r>
      <w:r w:rsidR="00CE6BD1">
        <w:t>v</w:t>
      </w:r>
      <w:r w:rsidR="008F3BEA">
        <w:t>ol.</w:t>
      </w:r>
      <w:r>
        <w:rPr>
          <w:i/>
        </w:rPr>
        <w:t xml:space="preserve"> </w:t>
      </w:r>
      <w:r>
        <w:t>40</w:t>
      </w:r>
      <w:r w:rsidR="008F3BEA">
        <w:t xml:space="preserve">, </w:t>
      </w:r>
      <w:r w:rsidR="00CE6BD1">
        <w:t>n</w:t>
      </w:r>
      <w:r w:rsidR="008F3BEA">
        <w:t xml:space="preserve">o. </w:t>
      </w:r>
      <w:r w:rsidR="00306E35">
        <w:t>2</w:t>
      </w:r>
      <w:r>
        <w:t xml:space="preserve"> (</w:t>
      </w:r>
      <w:r w:rsidR="00256FB9">
        <w:t xml:space="preserve">February </w:t>
      </w:r>
      <w:r>
        <w:t>1996</w:t>
      </w:r>
      <w:r w:rsidR="008F3BEA">
        <w:t xml:space="preserve">), pp. </w:t>
      </w:r>
      <w:r>
        <w:t>213-</w:t>
      </w:r>
      <w:r w:rsidR="00CE6BD1">
        <w:t>2</w:t>
      </w:r>
      <w:r>
        <w:t>38.</w:t>
      </w:r>
    </w:p>
    <w:p w:rsidR="009A5C65" w:rsidRDefault="009A5C65" w:rsidP="00D71007">
      <w:pPr>
        <w:autoSpaceDE w:val="0"/>
        <w:autoSpaceDN w:val="0"/>
        <w:adjustRightInd w:val="0"/>
        <w:ind w:left="720" w:hanging="720"/>
      </w:pPr>
    </w:p>
    <w:p w:rsidR="00C84076" w:rsidRDefault="00C84076" w:rsidP="00C84076">
      <w:pPr>
        <w:tabs>
          <w:tab w:val="left" w:pos="-720"/>
        </w:tabs>
        <w:suppressAutoHyphens/>
      </w:pPr>
      <w:r>
        <w:t xml:space="preserve">Jensen, G. and T. Moorman. “Inter-temporal Variation in the Illiquidity Premium.” </w:t>
      </w:r>
      <w:r w:rsidRPr="00AC48F5">
        <w:rPr>
          <w:i/>
        </w:rPr>
        <w:t>Journal of Financial Economics</w:t>
      </w:r>
      <w:r>
        <w:t>.98, (November 2010), pp. 338-358.</w:t>
      </w:r>
    </w:p>
    <w:p w:rsidR="009A5C65" w:rsidRDefault="009A5C65" w:rsidP="00D71007">
      <w:pPr>
        <w:autoSpaceDE w:val="0"/>
        <w:autoSpaceDN w:val="0"/>
        <w:adjustRightInd w:val="0"/>
        <w:ind w:left="720" w:hanging="720"/>
      </w:pPr>
    </w:p>
    <w:p w:rsidR="009A2CF3" w:rsidRDefault="009A2CF3" w:rsidP="009A2CF3">
      <w:pPr>
        <w:autoSpaceDE w:val="0"/>
        <w:autoSpaceDN w:val="0"/>
        <w:adjustRightInd w:val="0"/>
        <w:ind w:left="720" w:hanging="720"/>
      </w:pPr>
    </w:p>
    <w:p w:rsidR="009A2CF3" w:rsidRDefault="009A2CF3" w:rsidP="009A2CF3">
      <w:pPr>
        <w:autoSpaceDE w:val="0"/>
        <w:autoSpaceDN w:val="0"/>
        <w:adjustRightInd w:val="0"/>
        <w:ind w:left="720" w:hanging="720"/>
      </w:pPr>
      <w:r w:rsidRPr="009A2CF3">
        <w:t xml:space="preserve">Johnson, </w:t>
      </w:r>
      <w:r w:rsidR="001D29C2">
        <w:t>R</w:t>
      </w:r>
      <w:r w:rsidRPr="009A2CF3">
        <w:t xml:space="preserve">., </w:t>
      </w:r>
      <w:r w:rsidR="008F3BEA" w:rsidRPr="009A2CF3">
        <w:t>W</w:t>
      </w:r>
      <w:r w:rsidR="008F3BEA">
        <w:t>.</w:t>
      </w:r>
      <w:r w:rsidR="008F3BEA" w:rsidRPr="009A2CF3">
        <w:t xml:space="preserve"> </w:t>
      </w:r>
      <w:r w:rsidRPr="009A2CF3">
        <w:t xml:space="preserve">Chittenden, and </w:t>
      </w:r>
      <w:r w:rsidR="008F3BEA">
        <w:t>G</w:t>
      </w:r>
      <w:r w:rsidRPr="009A2CF3">
        <w:t>. Jensen</w:t>
      </w:r>
      <w:r w:rsidR="001D29C2">
        <w:t>. "</w:t>
      </w:r>
      <w:r w:rsidRPr="009A2CF3">
        <w:t>Presidential Politics, Stocks, Bonds, Bills, and Inflation</w:t>
      </w:r>
      <w:r w:rsidR="001D29C2">
        <w:t>."</w:t>
      </w:r>
      <w:r w:rsidRPr="009A2CF3">
        <w:t xml:space="preserve"> </w:t>
      </w:r>
      <w:r w:rsidR="002D0FC8" w:rsidRPr="002D0FC8">
        <w:rPr>
          <w:i/>
        </w:rPr>
        <w:t>The</w:t>
      </w:r>
      <w:r w:rsidR="002D0FC8">
        <w:t xml:space="preserve"> </w:t>
      </w:r>
      <w:r w:rsidRPr="009A2CF3">
        <w:rPr>
          <w:i/>
          <w:iCs/>
        </w:rPr>
        <w:t>Journal of Portfolio Management</w:t>
      </w:r>
      <w:r w:rsidR="008F3BEA">
        <w:rPr>
          <w:iCs/>
        </w:rPr>
        <w:t>,</w:t>
      </w:r>
      <w:r w:rsidRPr="009A2CF3">
        <w:t xml:space="preserve"> </w:t>
      </w:r>
      <w:r w:rsidR="00CE6BD1">
        <w:t>v</w:t>
      </w:r>
      <w:r w:rsidR="002D0FC8">
        <w:t xml:space="preserve">ol. 26, </w:t>
      </w:r>
      <w:r w:rsidR="00CE6BD1">
        <w:t>n</w:t>
      </w:r>
      <w:r w:rsidR="002D0FC8">
        <w:t>o.</w:t>
      </w:r>
      <w:r w:rsidR="001D29C2">
        <w:t xml:space="preserve"> </w:t>
      </w:r>
      <w:r w:rsidR="009847D8">
        <w:t xml:space="preserve">1 </w:t>
      </w:r>
      <w:r w:rsidR="002D0FC8">
        <w:t>(</w:t>
      </w:r>
      <w:r w:rsidR="00256FB9">
        <w:t xml:space="preserve">Fall </w:t>
      </w:r>
      <w:r w:rsidR="001D29C2">
        <w:t>1999</w:t>
      </w:r>
      <w:r w:rsidR="002D0FC8">
        <w:t>)</w:t>
      </w:r>
      <w:r w:rsidR="008F3BEA">
        <w:t>, pp.</w:t>
      </w:r>
      <w:r w:rsidRPr="009A2CF3">
        <w:t xml:space="preserve"> 27-31.</w:t>
      </w:r>
    </w:p>
    <w:p w:rsidR="00E46CA8" w:rsidRDefault="00E46CA8" w:rsidP="009A2CF3">
      <w:pPr>
        <w:autoSpaceDE w:val="0"/>
        <w:autoSpaceDN w:val="0"/>
        <w:adjustRightInd w:val="0"/>
        <w:ind w:left="720" w:hanging="720"/>
      </w:pPr>
    </w:p>
    <w:p w:rsidR="00E46CA8" w:rsidRDefault="00E46CA8" w:rsidP="009A2CF3">
      <w:pPr>
        <w:autoSpaceDE w:val="0"/>
        <w:autoSpaceDN w:val="0"/>
        <w:adjustRightInd w:val="0"/>
        <w:ind w:left="720" w:hanging="720"/>
      </w:pPr>
      <w:r>
        <w:t xml:space="preserve">Korn, M. “Political Gridlock is Bullish for Markets: David Kotok.”  Yahoo Daily Ticker, December 20, 2011.  </w:t>
      </w:r>
      <w:r w:rsidRPr="00E46CA8">
        <w:t>http://finance.yahoo.com/blogs/daily-ticker/political-gridlock-bullish-markets-david-kotok-171306385.html</w:t>
      </w:r>
    </w:p>
    <w:p w:rsidR="001F0C64" w:rsidRDefault="001F0C64" w:rsidP="009A2CF3">
      <w:pPr>
        <w:autoSpaceDE w:val="0"/>
        <w:autoSpaceDN w:val="0"/>
        <w:adjustRightInd w:val="0"/>
        <w:ind w:left="720" w:hanging="720"/>
      </w:pPr>
    </w:p>
    <w:p w:rsidR="001F0C64" w:rsidRPr="001F0C64" w:rsidRDefault="001F0C64" w:rsidP="009A2CF3">
      <w:pPr>
        <w:autoSpaceDE w:val="0"/>
        <w:autoSpaceDN w:val="0"/>
        <w:adjustRightInd w:val="0"/>
        <w:ind w:left="720" w:hanging="720"/>
      </w:pPr>
      <w:r>
        <w:t xml:space="preserve">Lowrey, A. “Election Day Prediction: Buy.  Why is the stock market looking forward to political gridlock?”  </w:t>
      </w:r>
      <w:r>
        <w:rPr>
          <w:i/>
        </w:rPr>
        <w:t>Slate</w:t>
      </w:r>
      <w:r>
        <w:t xml:space="preserve">, November 1, 2010.  </w:t>
      </w:r>
      <w:r w:rsidRPr="001F0C64">
        <w:lastRenderedPageBreak/>
        <w:t>http://www.slate.com/articles/business/moneybox/2010/11/election_day_prediction_buy.html</w:t>
      </w:r>
    </w:p>
    <w:p w:rsidR="00D71007" w:rsidRDefault="00D71007" w:rsidP="000C2C23">
      <w:pPr>
        <w:autoSpaceDE w:val="0"/>
        <w:autoSpaceDN w:val="0"/>
        <w:adjustRightInd w:val="0"/>
      </w:pPr>
    </w:p>
    <w:p w:rsidR="004F40DC" w:rsidRDefault="00834F14" w:rsidP="009A2CF3">
      <w:pPr>
        <w:autoSpaceDE w:val="0"/>
        <w:autoSpaceDN w:val="0"/>
        <w:adjustRightInd w:val="0"/>
        <w:ind w:left="720" w:hanging="720"/>
      </w:pPr>
      <w:r w:rsidRPr="0059513E">
        <w:t>Newey, Whit</w:t>
      </w:r>
      <w:r w:rsidR="00E31EE7">
        <w:t>ney K, and Kenneth D West.</w:t>
      </w:r>
      <w:r w:rsidRPr="0059513E">
        <w:t xml:space="preserve"> </w:t>
      </w:r>
      <w:r w:rsidR="0059513E">
        <w:t>“</w:t>
      </w:r>
      <w:r w:rsidRPr="0059513E">
        <w:t>A Simple, Positive Semi-definite, Heteroskedasticity and Autocorrelation Consistent Covariance Matrix</w:t>
      </w:r>
      <w:r w:rsidR="00CE6BD1">
        <w:t>.”</w:t>
      </w:r>
      <w:r w:rsidRPr="0059513E">
        <w:t xml:space="preserve"> </w:t>
      </w:r>
      <w:r w:rsidRPr="0059513E">
        <w:rPr>
          <w:i/>
          <w:iCs/>
        </w:rPr>
        <w:t>Econometrica</w:t>
      </w:r>
      <w:r w:rsidR="00CE6BD1">
        <w:rPr>
          <w:i/>
          <w:iCs/>
        </w:rPr>
        <w:t>,</w:t>
      </w:r>
      <w:r w:rsidRPr="0059513E">
        <w:t xml:space="preserve"> </w:t>
      </w:r>
      <w:r w:rsidR="00CE6BD1">
        <w:t>v</w:t>
      </w:r>
      <w:r w:rsidR="0059513E" w:rsidRPr="0059513E">
        <w:t xml:space="preserve">ol. </w:t>
      </w:r>
      <w:r w:rsidRPr="0059513E">
        <w:t>55,</w:t>
      </w:r>
      <w:r w:rsidR="0059513E" w:rsidRPr="0059513E">
        <w:t xml:space="preserve"> </w:t>
      </w:r>
      <w:r w:rsidR="00CE6BD1">
        <w:t>n</w:t>
      </w:r>
      <w:r w:rsidR="0059513E" w:rsidRPr="0059513E">
        <w:t xml:space="preserve">o. 3 </w:t>
      </w:r>
      <w:r w:rsidR="00E31EE7">
        <w:t xml:space="preserve">(May 1987), </w:t>
      </w:r>
      <w:r w:rsidR="0059513E" w:rsidRPr="0059513E">
        <w:t>pp.</w:t>
      </w:r>
      <w:r w:rsidRPr="0059513E">
        <w:t xml:space="preserve"> 703-</w:t>
      </w:r>
      <w:r w:rsidR="00CE6BD1">
        <w:t>7</w:t>
      </w:r>
      <w:r w:rsidRPr="0059513E">
        <w:t>08.</w:t>
      </w:r>
    </w:p>
    <w:p w:rsidR="0094062F" w:rsidRDefault="0094062F" w:rsidP="009A2CF3">
      <w:pPr>
        <w:autoSpaceDE w:val="0"/>
        <w:autoSpaceDN w:val="0"/>
        <w:adjustRightInd w:val="0"/>
        <w:ind w:left="720" w:hanging="720"/>
      </w:pPr>
    </w:p>
    <w:p w:rsidR="00433D00" w:rsidRDefault="00433D00" w:rsidP="00433D00">
      <w:pPr>
        <w:ind w:left="720" w:hanging="720"/>
      </w:pPr>
      <w:r>
        <w:t>Niederhoffer, V</w:t>
      </w:r>
      <w:r w:rsidR="008F3BEA">
        <w:t>.</w:t>
      </w:r>
      <w:r>
        <w:t>, S</w:t>
      </w:r>
      <w:r w:rsidR="008F3BEA">
        <w:t>.</w:t>
      </w:r>
      <w:r>
        <w:t xml:space="preserve"> Gibbs, and J</w:t>
      </w:r>
      <w:r w:rsidR="008F3BEA">
        <w:t>.</w:t>
      </w:r>
      <w:r>
        <w:t xml:space="preserve"> Bullock</w:t>
      </w:r>
      <w:r w:rsidR="008F3BEA">
        <w:t>.</w:t>
      </w:r>
      <w:r>
        <w:t xml:space="preserve"> “Presidential Elections and the Stock Market</w:t>
      </w:r>
      <w:r w:rsidR="008F3BEA">
        <w:t>.</w:t>
      </w:r>
      <w:r>
        <w:t xml:space="preserve">” </w:t>
      </w:r>
      <w:r>
        <w:rPr>
          <w:i/>
        </w:rPr>
        <w:t>Financial Analysts Journal</w:t>
      </w:r>
      <w:r>
        <w:t xml:space="preserve">, </w:t>
      </w:r>
      <w:r w:rsidR="00256FB9">
        <w:t>(</w:t>
      </w:r>
      <w:r>
        <w:t>March/April 1970</w:t>
      </w:r>
      <w:r w:rsidR="00256FB9">
        <w:t>)</w:t>
      </w:r>
      <w:r>
        <w:t>, pp. 111-113.</w:t>
      </w:r>
    </w:p>
    <w:p w:rsidR="0093412A" w:rsidRDefault="0093412A" w:rsidP="00433D00">
      <w:pPr>
        <w:autoSpaceDE w:val="0"/>
        <w:autoSpaceDN w:val="0"/>
        <w:adjustRightInd w:val="0"/>
      </w:pPr>
    </w:p>
    <w:p w:rsidR="009A2CF3" w:rsidRDefault="009A2CF3" w:rsidP="009A2CF3">
      <w:pPr>
        <w:autoSpaceDE w:val="0"/>
        <w:autoSpaceDN w:val="0"/>
        <w:adjustRightInd w:val="0"/>
        <w:ind w:left="720" w:hanging="720"/>
      </w:pPr>
      <w:r w:rsidRPr="009A2CF3">
        <w:t xml:space="preserve">Patelis, </w:t>
      </w:r>
      <w:r w:rsidR="008F3BEA" w:rsidRPr="009A2CF3">
        <w:t>A</w:t>
      </w:r>
      <w:r w:rsidR="008F3BEA">
        <w:t>.</w:t>
      </w:r>
      <w:r w:rsidRPr="009A2CF3">
        <w:t>D</w:t>
      </w:r>
      <w:r w:rsidR="001D29C2">
        <w:t>. "</w:t>
      </w:r>
      <w:r w:rsidRPr="009A2CF3">
        <w:t>Stock Return Predictability and the Role of Monetary Policy</w:t>
      </w:r>
      <w:r w:rsidR="001D29C2">
        <w:t>."</w:t>
      </w:r>
      <w:r w:rsidRPr="009A2CF3">
        <w:t xml:space="preserve"> </w:t>
      </w:r>
      <w:r w:rsidRPr="009A2CF3">
        <w:rPr>
          <w:i/>
          <w:iCs/>
        </w:rPr>
        <w:t>Journal of Finance</w:t>
      </w:r>
      <w:r w:rsidR="008F3BEA" w:rsidRPr="008F3BEA">
        <w:rPr>
          <w:iCs/>
        </w:rPr>
        <w:t>,</w:t>
      </w:r>
      <w:r w:rsidRPr="009A2CF3">
        <w:t xml:space="preserve"> </w:t>
      </w:r>
      <w:r w:rsidR="00C93023">
        <w:t>v</w:t>
      </w:r>
      <w:r w:rsidR="00E31EE7">
        <w:t xml:space="preserve">ol. </w:t>
      </w:r>
      <w:r w:rsidRPr="009A2CF3">
        <w:t>52</w:t>
      </w:r>
      <w:r w:rsidR="00E31EE7">
        <w:t xml:space="preserve">, </w:t>
      </w:r>
      <w:r w:rsidR="00C93023">
        <w:t>n</w:t>
      </w:r>
      <w:r w:rsidR="00E31EE7">
        <w:t>o. 5</w:t>
      </w:r>
      <w:r w:rsidRPr="009A2CF3">
        <w:t xml:space="preserve"> </w:t>
      </w:r>
      <w:r w:rsidR="001D29C2">
        <w:t>(December 1997)</w:t>
      </w:r>
      <w:r w:rsidR="008F3BEA">
        <w:t>,</w:t>
      </w:r>
      <w:r w:rsidR="001D29C2">
        <w:t xml:space="preserve"> </w:t>
      </w:r>
      <w:r w:rsidR="008F3BEA">
        <w:t xml:space="preserve">pp. </w:t>
      </w:r>
      <w:r w:rsidRPr="009A2CF3">
        <w:t>1951-</w:t>
      </w:r>
      <w:r w:rsidR="00C93023">
        <w:t>19</w:t>
      </w:r>
      <w:r w:rsidRPr="009A2CF3">
        <w:t>72.</w:t>
      </w:r>
    </w:p>
    <w:p w:rsidR="0093412A" w:rsidRDefault="0093412A" w:rsidP="009A2CF3">
      <w:pPr>
        <w:autoSpaceDE w:val="0"/>
        <w:autoSpaceDN w:val="0"/>
        <w:adjustRightInd w:val="0"/>
        <w:ind w:left="720" w:hanging="720"/>
      </w:pPr>
    </w:p>
    <w:p w:rsidR="009A2CF3" w:rsidRPr="009A2CF3" w:rsidRDefault="006675A7" w:rsidP="00623A4F">
      <w:pPr>
        <w:autoSpaceDE w:val="0"/>
        <w:autoSpaceDN w:val="0"/>
        <w:adjustRightInd w:val="0"/>
        <w:ind w:left="720" w:hanging="720"/>
      </w:pPr>
      <w:r>
        <w:t>Pearce, D</w:t>
      </w:r>
      <w:r w:rsidR="00501AA0">
        <w:t>.</w:t>
      </w:r>
      <w:r>
        <w:t xml:space="preserve"> and V. Roley. “Stock Prices and Economic News.” </w:t>
      </w:r>
      <w:r>
        <w:rPr>
          <w:i/>
        </w:rPr>
        <w:t>Journal of Business</w:t>
      </w:r>
      <w:r>
        <w:t xml:space="preserve">, </w:t>
      </w:r>
      <w:r w:rsidR="00C93023">
        <w:t>v</w:t>
      </w:r>
      <w:r>
        <w:t xml:space="preserve">ol. 58, </w:t>
      </w:r>
      <w:r w:rsidR="00C93023">
        <w:t>n</w:t>
      </w:r>
      <w:r>
        <w:t>o. 1 (</w:t>
      </w:r>
      <w:r w:rsidR="00E31EE7">
        <w:t xml:space="preserve">January </w:t>
      </w:r>
      <w:r w:rsidR="00501AA0">
        <w:t>1985</w:t>
      </w:r>
      <w:r>
        <w:t>)</w:t>
      </w:r>
      <w:r w:rsidR="00501AA0">
        <w:t xml:space="preserve">, pp. </w:t>
      </w:r>
      <w:r>
        <w:t>49</w:t>
      </w:r>
      <w:r w:rsidR="00C93023">
        <w:t>-</w:t>
      </w:r>
      <w:r>
        <w:t>67.</w:t>
      </w:r>
    </w:p>
    <w:p w:rsidR="009A2CF3" w:rsidRDefault="009A2CF3" w:rsidP="009A2CF3">
      <w:pPr>
        <w:autoSpaceDE w:val="0"/>
        <w:autoSpaceDN w:val="0"/>
        <w:adjustRightInd w:val="0"/>
        <w:ind w:left="720" w:hanging="720"/>
      </w:pPr>
    </w:p>
    <w:p w:rsidR="0071012C" w:rsidRDefault="0071012C" w:rsidP="009A2CF3">
      <w:pPr>
        <w:autoSpaceDE w:val="0"/>
        <w:autoSpaceDN w:val="0"/>
        <w:adjustRightInd w:val="0"/>
        <w:ind w:left="720" w:hanging="720"/>
      </w:pPr>
      <w:r w:rsidRPr="0071012C">
        <w:t xml:space="preserve">Reilly, Frank K., and Drzycimski, Eugene F., “Vote Republican: If You Want the Market to Rise </w:t>
      </w:r>
      <w:r w:rsidR="00ED423B">
        <w:t>a</w:t>
      </w:r>
      <w:r w:rsidRPr="0071012C">
        <w:t>fter Election Day,” Barron’s, October 18, 1976, pp. 5, 18.</w:t>
      </w:r>
    </w:p>
    <w:p w:rsidR="008060A2" w:rsidRDefault="008060A2" w:rsidP="009A2CF3">
      <w:pPr>
        <w:autoSpaceDE w:val="0"/>
        <w:autoSpaceDN w:val="0"/>
        <w:adjustRightInd w:val="0"/>
        <w:ind w:left="720" w:hanging="720"/>
      </w:pPr>
    </w:p>
    <w:p w:rsidR="008060A2" w:rsidRPr="008060A2" w:rsidRDefault="008060A2" w:rsidP="009A2CF3">
      <w:pPr>
        <w:autoSpaceDE w:val="0"/>
        <w:autoSpaceDN w:val="0"/>
        <w:adjustRightInd w:val="0"/>
        <w:ind w:left="720" w:hanging="720"/>
      </w:pPr>
      <w:r>
        <w:t xml:space="preserve">Sanford, J.  “The Inauguration Effect.”  </w:t>
      </w:r>
      <w:r>
        <w:rPr>
          <w:i/>
        </w:rPr>
        <w:t>Canadian Business</w:t>
      </w:r>
      <w:r>
        <w:t>, vol. 78 (2005), pp. 74-75.</w:t>
      </w:r>
    </w:p>
    <w:p w:rsidR="0071012C" w:rsidRDefault="0071012C" w:rsidP="009A2CF3">
      <w:pPr>
        <w:autoSpaceDE w:val="0"/>
        <w:autoSpaceDN w:val="0"/>
        <w:adjustRightInd w:val="0"/>
        <w:ind w:left="720" w:hanging="720"/>
      </w:pPr>
    </w:p>
    <w:p w:rsidR="009A2CF3" w:rsidRDefault="009A2CF3" w:rsidP="009A2CF3">
      <w:pPr>
        <w:autoSpaceDE w:val="0"/>
        <w:autoSpaceDN w:val="0"/>
        <w:adjustRightInd w:val="0"/>
        <w:ind w:left="720" w:hanging="720"/>
      </w:pPr>
      <w:r w:rsidRPr="009A2CF3">
        <w:t xml:space="preserve">Santa-Clara, </w:t>
      </w:r>
      <w:r w:rsidR="00501AA0" w:rsidRPr="009A2CF3">
        <w:t>P</w:t>
      </w:r>
      <w:r w:rsidR="00501AA0">
        <w:t>.</w:t>
      </w:r>
      <w:r w:rsidRPr="009A2CF3">
        <w:t xml:space="preserve">, and </w:t>
      </w:r>
      <w:r w:rsidR="00501AA0" w:rsidRPr="009A2CF3">
        <w:t>R</w:t>
      </w:r>
      <w:r w:rsidR="00501AA0">
        <w:t>.</w:t>
      </w:r>
      <w:r w:rsidR="00501AA0" w:rsidRPr="009A2CF3">
        <w:t xml:space="preserve"> </w:t>
      </w:r>
      <w:r w:rsidRPr="009A2CF3">
        <w:t>Valkanov</w:t>
      </w:r>
      <w:r w:rsidR="001D29C2">
        <w:t>. "</w:t>
      </w:r>
      <w:r w:rsidRPr="009A2CF3">
        <w:t>The Presidential Puzzle: Political Cycles and the Stock Market</w:t>
      </w:r>
      <w:r w:rsidR="001D29C2">
        <w:t xml:space="preserve">." </w:t>
      </w:r>
      <w:r w:rsidRPr="009A2CF3">
        <w:t xml:space="preserve"> </w:t>
      </w:r>
      <w:r w:rsidRPr="009A2CF3">
        <w:rPr>
          <w:i/>
          <w:iCs/>
        </w:rPr>
        <w:t>Journal of Finance</w:t>
      </w:r>
      <w:r w:rsidR="00501AA0">
        <w:rPr>
          <w:iCs/>
        </w:rPr>
        <w:t>,</w:t>
      </w:r>
      <w:r w:rsidR="00E31EE7">
        <w:rPr>
          <w:iCs/>
        </w:rPr>
        <w:t xml:space="preserve"> </w:t>
      </w:r>
      <w:r w:rsidR="00C93023">
        <w:rPr>
          <w:iCs/>
        </w:rPr>
        <w:t>v</w:t>
      </w:r>
      <w:r w:rsidR="00E31EE7">
        <w:rPr>
          <w:iCs/>
        </w:rPr>
        <w:t>ol.</w:t>
      </w:r>
      <w:r w:rsidR="001D29C2">
        <w:rPr>
          <w:i/>
          <w:iCs/>
        </w:rPr>
        <w:t xml:space="preserve"> </w:t>
      </w:r>
      <w:r w:rsidR="001D29C2">
        <w:t>58</w:t>
      </w:r>
      <w:r w:rsidR="00E31EE7">
        <w:t xml:space="preserve">, </w:t>
      </w:r>
      <w:r w:rsidR="00C93023">
        <w:t>n</w:t>
      </w:r>
      <w:r w:rsidR="00E31EE7">
        <w:t>o. 5</w:t>
      </w:r>
      <w:r w:rsidR="001D29C2">
        <w:t xml:space="preserve"> (October 2003)</w:t>
      </w:r>
      <w:r w:rsidR="00501AA0">
        <w:t>, pp.</w:t>
      </w:r>
      <w:r w:rsidR="001D29C2">
        <w:t xml:space="preserve"> 1841-1872.</w:t>
      </w:r>
    </w:p>
    <w:p w:rsidR="00185E2D" w:rsidRPr="009A2CF3" w:rsidRDefault="00185E2D" w:rsidP="009A2CF3">
      <w:pPr>
        <w:autoSpaceDE w:val="0"/>
        <w:autoSpaceDN w:val="0"/>
        <w:adjustRightInd w:val="0"/>
        <w:ind w:left="720" w:hanging="720"/>
      </w:pPr>
    </w:p>
    <w:p w:rsidR="009A2CF3" w:rsidRDefault="009A2CF3" w:rsidP="009A2CF3">
      <w:pPr>
        <w:autoSpaceDE w:val="0"/>
        <w:autoSpaceDN w:val="0"/>
        <w:adjustRightInd w:val="0"/>
        <w:ind w:left="720" w:hanging="720"/>
      </w:pPr>
      <w:r w:rsidRPr="009A2CF3">
        <w:t xml:space="preserve">Shell, </w:t>
      </w:r>
      <w:r w:rsidR="00501AA0" w:rsidRPr="009A2CF3">
        <w:t>A</w:t>
      </w:r>
      <w:r w:rsidR="00501AA0">
        <w:t>.</w:t>
      </w:r>
      <w:r w:rsidRPr="009A2CF3">
        <w:t xml:space="preserve"> </w:t>
      </w:r>
      <w:r w:rsidR="00501AA0">
        <w:t>“</w:t>
      </w:r>
      <w:r w:rsidRPr="009A2CF3">
        <w:t>Gridlock and the Financial Markets</w:t>
      </w:r>
      <w:r w:rsidR="00501AA0">
        <w:t>.”</w:t>
      </w:r>
      <w:r w:rsidRPr="009A2CF3">
        <w:t xml:space="preserve"> </w:t>
      </w:r>
      <w:smartTag w:uri="urn:schemas-microsoft-com:office:smarttags" w:element="place">
        <w:smartTag w:uri="urn:schemas-microsoft-com:office:smarttags" w:element="country-region">
          <w:r w:rsidRPr="00501AA0">
            <w:rPr>
              <w:i/>
            </w:rPr>
            <w:t>USA</w:t>
          </w:r>
        </w:smartTag>
      </w:smartTag>
      <w:r w:rsidRPr="00501AA0">
        <w:rPr>
          <w:i/>
        </w:rPr>
        <w:t xml:space="preserve"> Today</w:t>
      </w:r>
      <w:r w:rsidR="00501AA0">
        <w:t>,</w:t>
      </w:r>
      <w:r w:rsidR="00501AA0" w:rsidRPr="00501AA0">
        <w:t xml:space="preserve"> </w:t>
      </w:r>
      <w:r w:rsidR="00501AA0" w:rsidRPr="009A2CF3">
        <w:t>May 24, 2001</w:t>
      </w:r>
      <w:r w:rsidRPr="009A2CF3">
        <w:t>.</w:t>
      </w:r>
    </w:p>
    <w:p w:rsidR="0093412A" w:rsidRDefault="0093412A" w:rsidP="009A2CF3">
      <w:pPr>
        <w:autoSpaceDE w:val="0"/>
        <w:autoSpaceDN w:val="0"/>
        <w:adjustRightInd w:val="0"/>
        <w:ind w:left="720" w:hanging="720"/>
      </w:pPr>
    </w:p>
    <w:p w:rsidR="009A2CF3" w:rsidRPr="009A2CF3" w:rsidRDefault="006675A7" w:rsidP="00623A4F">
      <w:pPr>
        <w:autoSpaceDE w:val="0"/>
        <w:autoSpaceDN w:val="0"/>
        <w:adjustRightInd w:val="0"/>
        <w:ind w:left="720" w:hanging="720"/>
      </w:pPr>
      <w:r>
        <w:t>Smirlock, M</w:t>
      </w:r>
      <w:r w:rsidR="00501AA0">
        <w:t>.</w:t>
      </w:r>
      <w:r>
        <w:t>J., and J</w:t>
      </w:r>
      <w:r w:rsidR="00501AA0">
        <w:t>.</w:t>
      </w:r>
      <w:r>
        <w:t xml:space="preserve">B. Yawitz. “Asset Returns, Discount Rate Changes, and Market Efficiency.” </w:t>
      </w:r>
      <w:r>
        <w:rPr>
          <w:i/>
        </w:rPr>
        <w:t>Journal of Finance</w:t>
      </w:r>
      <w:r>
        <w:t xml:space="preserve">, </w:t>
      </w:r>
      <w:r w:rsidR="00C93023">
        <w:t>v</w:t>
      </w:r>
      <w:r w:rsidR="00E31EE7">
        <w:t xml:space="preserve">ol. </w:t>
      </w:r>
      <w:r>
        <w:t>40</w:t>
      </w:r>
      <w:r w:rsidR="00E31EE7">
        <w:t xml:space="preserve">, </w:t>
      </w:r>
      <w:r w:rsidR="00C93023">
        <w:t>n</w:t>
      </w:r>
      <w:r w:rsidR="00E31EE7">
        <w:t>o. 4</w:t>
      </w:r>
      <w:r>
        <w:t xml:space="preserve"> (September</w:t>
      </w:r>
      <w:r w:rsidR="00501AA0">
        <w:t xml:space="preserve"> 1985</w:t>
      </w:r>
      <w:r>
        <w:t>)</w:t>
      </w:r>
      <w:r w:rsidR="00501AA0">
        <w:t xml:space="preserve">, pp. </w:t>
      </w:r>
      <w:r>
        <w:t>1141</w:t>
      </w:r>
      <w:r w:rsidR="00C93023">
        <w:t>-</w:t>
      </w:r>
      <w:r>
        <w:t>58.</w:t>
      </w:r>
    </w:p>
    <w:p w:rsidR="001D29C2" w:rsidRDefault="001D29C2" w:rsidP="009A2CF3">
      <w:pPr>
        <w:autoSpaceDE w:val="0"/>
        <w:autoSpaceDN w:val="0"/>
        <w:adjustRightInd w:val="0"/>
        <w:ind w:left="720" w:hanging="720"/>
      </w:pPr>
    </w:p>
    <w:p w:rsidR="009A2CF3" w:rsidRDefault="009A2CF3" w:rsidP="009A2CF3">
      <w:pPr>
        <w:autoSpaceDE w:val="0"/>
        <w:autoSpaceDN w:val="0"/>
        <w:adjustRightInd w:val="0"/>
        <w:ind w:left="720" w:hanging="720"/>
      </w:pPr>
      <w:r w:rsidRPr="009A2CF3">
        <w:t>Stov</w:t>
      </w:r>
      <w:r w:rsidR="003A2E1A">
        <w:t>a</w:t>
      </w:r>
      <w:r w:rsidRPr="009A2CF3">
        <w:t xml:space="preserve">ll, </w:t>
      </w:r>
      <w:r w:rsidR="005226CF" w:rsidRPr="009A2CF3">
        <w:t>R</w:t>
      </w:r>
      <w:r w:rsidR="005226CF">
        <w:t>.</w:t>
      </w:r>
      <w:r w:rsidRPr="009A2CF3">
        <w:t xml:space="preserve">H. </w:t>
      </w:r>
      <w:r w:rsidR="005226CF">
        <w:t>“</w:t>
      </w:r>
      <w:r w:rsidRPr="009A2CF3">
        <w:t>Forecasting Stock Market Performance via the Presidential Cycle</w:t>
      </w:r>
      <w:r w:rsidR="005226CF">
        <w:t>.”</w:t>
      </w:r>
      <w:r w:rsidRPr="009A2CF3">
        <w:t xml:space="preserve"> </w:t>
      </w:r>
      <w:r w:rsidRPr="009A2CF3">
        <w:rPr>
          <w:i/>
          <w:iCs/>
        </w:rPr>
        <w:t>Financial Analysts Journal</w:t>
      </w:r>
      <w:r w:rsidR="005226CF">
        <w:rPr>
          <w:iCs/>
        </w:rPr>
        <w:t>,</w:t>
      </w:r>
      <w:r w:rsidRPr="009A2CF3">
        <w:t xml:space="preserve"> </w:t>
      </w:r>
      <w:r w:rsidR="00C93023">
        <w:t>v</w:t>
      </w:r>
      <w:r w:rsidR="00E31EE7">
        <w:t xml:space="preserve">ol 48, </w:t>
      </w:r>
      <w:r w:rsidR="00C93023">
        <w:t>n</w:t>
      </w:r>
      <w:r w:rsidR="00E31EE7">
        <w:t xml:space="preserve">o. 3 </w:t>
      </w:r>
      <w:r w:rsidR="00256FB9">
        <w:t>(</w:t>
      </w:r>
      <w:r w:rsidR="00764444">
        <w:t>May/</w:t>
      </w:r>
      <w:r w:rsidRPr="009A2CF3">
        <w:t>June</w:t>
      </w:r>
      <w:r w:rsidR="005226CF">
        <w:t xml:space="preserve"> 1992</w:t>
      </w:r>
      <w:r w:rsidR="00256FB9">
        <w:t>)</w:t>
      </w:r>
      <w:r w:rsidRPr="009A2CF3">
        <w:t xml:space="preserve">, </w:t>
      </w:r>
      <w:r w:rsidR="005226CF">
        <w:t xml:space="preserve">pp. </w:t>
      </w:r>
      <w:r w:rsidRPr="009A2CF3">
        <w:t>5-8.</w:t>
      </w:r>
    </w:p>
    <w:p w:rsidR="00692BE2" w:rsidRDefault="00692BE2" w:rsidP="009A2CF3">
      <w:pPr>
        <w:autoSpaceDE w:val="0"/>
        <w:autoSpaceDN w:val="0"/>
        <w:adjustRightInd w:val="0"/>
        <w:ind w:left="720" w:hanging="720"/>
      </w:pPr>
    </w:p>
    <w:p w:rsidR="00692BE2" w:rsidRPr="00692BE2" w:rsidRDefault="00692BE2" w:rsidP="009A2CF3">
      <w:pPr>
        <w:autoSpaceDE w:val="0"/>
        <w:autoSpaceDN w:val="0"/>
        <w:adjustRightInd w:val="0"/>
        <w:ind w:left="720" w:hanging="720"/>
      </w:pPr>
      <w:r>
        <w:t xml:space="preserve">Sy, O., and A. Zaman.  “Resolving the Presidential Puzzle.”  </w:t>
      </w:r>
      <w:r>
        <w:rPr>
          <w:i/>
        </w:rPr>
        <w:t>Financial Management</w:t>
      </w:r>
      <w:r>
        <w:t>, vol. 40, no. 2 (Summer 2011), pp. 331-355.</w:t>
      </w:r>
    </w:p>
    <w:p w:rsidR="001D29C2" w:rsidRDefault="001D29C2" w:rsidP="009A2CF3">
      <w:pPr>
        <w:autoSpaceDE w:val="0"/>
        <w:autoSpaceDN w:val="0"/>
        <w:adjustRightInd w:val="0"/>
        <w:ind w:left="720" w:hanging="720"/>
      </w:pPr>
    </w:p>
    <w:p w:rsidR="001D29C2" w:rsidRDefault="001D29C2" w:rsidP="001D29C2">
      <w:pPr>
        <w:ind w:left="720" w:hanging="720"/>
      </w:pPr>
      <w:r>
        <w:t xml:space="preserve">Thorbecke, W.  “On Stock Market Returns and Monetary Policy.” </w:t>
      </w:r>
      <w:r>
        <w:rPr>
          <w:i/>
          <w:iCs/>
        </w:rPr>
        <w:t>Journal of Finance</w:t>
      </w:r>
      <w:r w:rsidR="005226CF">
        <w:rPr>
          <w:iCs/>
        </w:rPr>
        <w:t>,</w:t>
      </w:r>
      <w:r>
        <w:t xml:space="preserve"> </w:t>
      </w:r>
      <w:r w:rsidR="00C93023">
        <w:t>v</w:t>
      </w:r>
      <w:r w:rsidR="00E31EE7">
        <w:t xml:space="preserve">ol. </w:t>
      </w:r>
      <w:r>
        <w:t>52</w:t>
      </w:r>
      <w:r w:rsidR="00E31EE7">
        <w:t xml:space="preserve">, </w:t>
      </w:r>
      <w:r w:rsidR="00C93023">
        <w:t>n</w:t>
      </w:r>
      <w:r w:rsidR="00E31EE7">
        <w:t xml:space="preserve">o. 2 </w:t>
      </w:r>
      <w:r>
        <w:t>(June 1997)</w:t>
      </w:r>
      <w:r w:rsidR="005226CF">
        <w:t>, pp.</w:t>
      </w:r>
      <w:r>
        <w:t xml:space="preserve"> 635-654.</w:t>
      </w:r>
    </w:p>
    <w:p w:rsidR="0093412A" w:rsidRDefault="0093412A" w:rsidP="001D29C2">
      <w:pPr>
        <w:ind w:left="720" w:hanging="720"/>
      </w:pPr>
    </w:p>
    <w:p w:rsidR="006675A7" w:rsidRDefault="006675A7" w:rsidP="006675A7">
      <w:pPr>
        <w:ind w:left="720" w:hanging="720"/>
      </w:pPr>
      <w:r>
        <w:t>Waud, R</w:t>
      </w:r>
      <w:r w:rsidR="005226CF">
        <w:t>.</w:t>
      </w:r>
      <w:r>
        <w:t xml:space="preserve">N. “Public Interpretation of Federal Reserve Discount Rate Changes: Evidence on the Announcement Effect.” </w:t>
      </w:r>
      <w:r>
        <w:rPr>
          <w:i/>
        </w:rPr>
        <w:t>Econometrica</w:t>
      </w:r>
      <w:r>
        <w:t xml:space="preserve">, </w:t>
      </w:r>
      <w:r w:rsidR="00C93023">
        <w:t>v</w:t>
      </w:r>
      <w:r>
        <w:t xml:space="preserve">ol. 38, </w:t>
      </w:r>
      <w:r w:rsidR="00C93023">
        <w:t>n</w:t>
      </w:r>
      <w:r>
        <w:t>o. 2 (</w:t>
      </w:r>
      <w:r w:rsidR="00982AF7">
        <w:t xml:space="preserve">March </w:t>
      </w:r>
      <w:r w:rsidR="005226CF">
        <w:t>1970</w:t>
      </w:r>
      <w:r>
        <w:t>)</w:t>
      </w:r>
      <w:r w:rsidR="005226CF">
        <w:t xml:space="preserve">, pp. </w:t>
      </w:r>
      <w:r>
        <w:t>231</w:t>
      </w:r>
      <w:r w:rsidR="00C93023">
        <w:t>-</w:t>
      </w:r>
      <w:r>
        <w:t>250.</w:t>
      </w:r>
    </w:p>
    <w:p w:rsidR="0093412A" w:rsidRDefault="0093412A" w:rsidP="001D29C2">
      <w:pPr>
        <w:ind w:left="720" w:hanging="720"/>
      </w:pPr>
    </w:p>
    <w:sectPr w:rsidR="0093412A" w:rsidSect="00153598">
      <w:endnotePr>
        <w:numFmt w:val="decimal"/>
      </w:endnotePr>
      <w:pgSz w:w="12240" w:h="15840"/>
      <w:pgMar w:top="1440" w:right="1350" w:bottom="1440" w:left="1800" w:header="144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6D0" w:rsidRDefault="001816D0">
      <w:r>
        <w:separator/>
      </w:r>
    </w:p>
  </w:endnote>
  <w:endnote w:type="continuationSeparator" w:id="0">
    <w:p w:rsidR="001816D0" w:rsidRDefault="00181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EA8" w:rsidRDefault="00A50EA8"/>
  <w:p w:rsidR="00A50EA8" w:rsidRDefault="00FC70F3">
    <w:pPr>
      <w:framePr w:w="9000" w:wrap="notBeside" w:vAnchor="text" w:hAnchor="text" w:x="1" w:y="1"/>
      <w:jc w:val="center"/>
    </w:pPr>
    <w:r>
      <w:fldChar w:fldCharType="begin"/>
    </w:r>
    <w:r>
      <w:instrText xml:space="preserve">PAGE </w:instrText>
    </w:r>
    <w:r>
      <w:fldChar w:fldCharType="separate"/>
    </w:r>
    <w:r w:rsidR="00C3510E">
      <w:rPr>
        <w:noProof/>
      </w:rPr>
      <w:t>3</w:t>
    </w:r>
    <w:r>
      <w:rPr>
        <w:noProof/>
      </w:rPr>
      <w:fldChar w:fldCharType="end"/>
    </w:r>
  </w:p>
  <w:p w:rsidR="00A50EA8" w:rsidRDefault="00A50EA8" w:rsidP="007C7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6D0" w:rsidRDefault="001816D0">
      <w:r>
        <w:separator/>
      </w:r>
    </w:p>
  </w:footnote>
  <w:footnote w:type="continuationSeparator" w:id="0">
    <w:p w:rsidR="001816D0" w:rsidRDefault="001816D0">
      <w:r>
        <w:continuationSeparator/>
      </w:r>
    </w:p>
  </w:footnote>
  <w:footnote w:id="1">
    <w:p w:rsidR="00A50EA8" w:rsidRDefault="00A50EA8" w:rsidP="0014454C">
      <w:pPr>
        <w:pStyle w:val="FootnoteText"/>
      </w:pPr>
      <w:r>
        <w:rPr>
          <w:rStyle w:val="FootnoteReference"/>
        </w:rPr>
        <w:footnoteRef/>
      </w:r>
      <w:r>
        <w:t xml:space="preserve"> For instance, in a recent review article by Foster (2012), the broad question, “Does the U.S. Presidential Election Impact the Stock Market?” is posed.  </w:t>
      </w:r>
    </w:p>
  </w:footnote>
  <w:footnote w:id="2">
    <w:p w:rsidR="00A50EA8" w:rsidRDefault="00A50EA8">
      <w:pPr>
        <w:pStyle w:val="FootnoteText"/>
      </w:pPr>
      <w:r>
        <w:rPr>
          <w:rStyle w:val="FootnoteReference"/>
        </w:rPr>
        <w:footnoteRef/>
      </w:r>
      <w:r>
        <w:t xml:space="preserve">  The superior performance of the stock market during Democratic administrations is also identified by Huang [1985], Johnson, Chittenden and Jensen [1999] and Sy and Zaman [2011]. </w:t>
      </w:r>
    </w:p>
  </w:footnote>
  <w:footnote w:id="3">
    <w:p w:rsidR="00A50EA8" w:rsidRPr="00EC06E2" w:rsidRDefault="00A50EA8" w:rsidP="00EC06E2">
      <w:pPr>
        <w:pStyle w:val="BodyText3"/>
        <w:widowControl/>
        <w:ind w:left="720" w:hanging="720"/>
        <w:rPr>
          <w:bCs/>
          <w:sz w:val="20"/>
          <w:szCs w:val="20"/>
        </w:rPr>
      </w:pPr>
      <w:r w:rsidRPr="00EC06E2">
        <w:rPr>
          <w:rStyle w:val="FootnoteReference"/>
          <w:sz w:val="20"/>
          <w:szCs w:val="20"/>
        </w:rPr>
        <w:footnoteRef/>
      </w:r>
      <w:r w:rsidRPr="00EC06E2">
        <w:rPr>
          <w:sz w:val="20"/>
          <w:szCs w:val="20"/>
        </w:rPr>
        <w:t xml:space="preserve"> </w:t>
      </w:r>
      <w:r>
        <w:rPr>
          <w:sz w:val="20"/>
          <w:szCs w:val="20"/>
        </w:rPr>
        <w:t xml:space="preserve"> See for example, Coleman [</w:t>
      </w:r>
      <w:r w:rsidRPr="00EC06E2">
        <w:rPr>
          <w:sz w:val="20"/>
          <w:szCs w:val="20"/>
        </w:rPr>
        <w:t>1999</w:t>
      </w:r>
      <w:r>
        <w:rPr>
          <w:sz w:val="20"/>
          <w:szCs w:val="20"/>
        </w:rPr>
        <w:t>] for details on the theoretical rationale</w:t>
      </w:r>
      <w:r w:rsidRPr="00EC06E2">
        <w:rPr>
          <w:sz w:val="20"/>
          <w:szCs w:val="20"/>
        </w:rPr>
        <w:t xml:space="preserve">.  </w:t>
      </w:r>
    </w:p>
  </w:footnote>
  <w:footnote w:id="4">
    <w:p w:rsidR="00A50EA8" w:rsidRDefault="00A50EA8">
      <w:pPr>
        <w:pStyle w:val="FootnoteText"/>
      </w:pPr>
      <w:r>
        <w:rPr>
          <w:rStyle w:val="FootnoteReference"/>
        </w:rPr>
        <w:footnoteRef/>
      </w:r>
      <w:r>
        <w:t xml:space="preserve">  For examples of announcement period studies, see Waud [1970], Smirlock and Yawitz [1985] and Pearce and Roley [1985].  These studies show that stock markets generally react positively to announcements of Fed easing and negatively to announcements of Fed tightening.</w:t>
      </w:r>
    </w:p>
  </w:footnote>
  <w:footnote w:id="5">
    <w:p w:rsidR="00A50EA8" w:rsidRDefault="00A50EA8" w:rsidP="00D04847">
      <w:pPr>
        <w:pStyle w:val="FootnoteText"/>
      </w:pPr>
      <w:r>
        <w:rPr>
          <w:rStyle w:val="FootnoteReference"/>
        </w:rPr>
        <w:footnoteRef/>
      </w:r>
      <w:r>
        <w:t xml:space="preserve">  This is consistent with prior studies in this area.  In particular, see Santa-Clara and Valkanov [2003] and Beyer, Jensen and Johnson [2004].</w:t>
      </w:r>
    </w:p>
  </w:footnote>
  <w:footnote w:id="6">
    <w:p w:rsidR="00A50EA8" w:rsidRDefault="00A50EA8">
      <w:pPr>
        <w:pStyle w:val="FootnoteText"/>
      </w:pPr>
      <w:r>
        <w:rPr>
          <w:rStyle w:val="FootnoteReference"/>
        </w:rPr>
        <w:footnoteRef/>
      </w:r>
      <w:r>
        <w:t xml:space="preserve"> Note, some political periods ran shorter than the full election term due to death, resignation, or change in party affiliation, which changed the balance of power.  </w:t>
      </w:r>
    </w:p>
  </w:footnote>
  <w:footnote w:id="7">
    <w:p w:rsidR="00A50EA8" w:rsidRDefault="00A50EA8">
      <w:pPr>
        <w:pStyle w:val="FootnoteText"/>
      </w:pPr>
      <w:r>
        <w:rPr>
          <w:rStyle w:val="FootnoteReference"/>
        </w:rPr>
        <w:footnoteRef/>
      </w:r>
      <w:r>
        <w:t xml:space="preserve">  For a more thorough discussion of the monetary policy measure see Jensen, Johnson and Mercer [2000].</w:t>
      </w:r>
    </w:p>
  </w:footnote>
  <w:footnote w:id="8">
    <w:p w:rsidR="00A50EA8" w:rsidRDefault="00A50EA8">
      <w:pPr>
        <w:pStyle w:val="FootnoteText"/>
      </w:pPr>
      <w:r>
        <w:rPr>
          <w:rStyle w:val="FootnoteReference"/>
        </w:rPr>
        <w:footnoteRef/>
      </w:r>
      <w:r>
        <w:t xml:space="preserve"> This result was also identified by Johnson, Chittenden and Jensen [1999] and Beyer, Jensen and Johnson [2004].</w:t>
      </w:r>
    </w:p>
  </w:footnote>
  <w:footnote w:id="9">
    <w:p w:rsidR="00A50EA8" w:rsidRDefault="00A50EA8">
      <w:pPr>
        <w:pStyle w:val="FootnoteText"/>
      </w:pPr>
      <w:r>
        <w:rPr>
          <w:rStyle w:val="FootnoteReference"/>
        </w:rPr>
        <w:footnoteRef/>
      </w:r>
      <w:r>
        <w:t xml:space="preserve"> These findings are consistent with Jensen, Johnson and Mercer [1998]. </w:t>
      </w:r>
    </w:p>
  </w:footnote>
  <w:footnote w:id="10">
    <w:p w:rsidR="00A50EA8" w:rsidRDefault="00A50EA8">
      <w:pPr>
        <w:pStyle w:val="FootnoteText"/>
      </w:pPr>
      <w:r>
        <w:rPr>
          <w:rStyle w:val="FootnoteReference"/>
        </w:rPr>
        <w:footnoteRef/>
      </w:r>
      <w:r>
        <w:t xml:space="preserve"> The results are adjusted for correlation in the error terms and </w:t>
      </w:r>
      <w:r w:rsidRPr="0089685A">
        <w:t>heteroskedasticity</w:t>
      </w:r>
      <w:r>
        <w:t xml:space="preserve"> using the Newey and West [1987] general covariance matrix to determine the estimators and calculate the standard errors.  The results are robust with the unadjusted least squares estimates.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D70"/>
    <w:rsid w:val="00001234"/>
    <w:rsid w:val="00001680"/>
    <w:rsid w:val="00010688"/>
    <w:rsid w:val="0001222A"/>
    <w:rsid w:val="00013409"/>
    <w:rsid w:val="000163A0"/>
    <w:rsid w:val="00022B6C"/>
    <w:rsid w:val="00022F7B"/>
    <w:rsid w:val="00030C85"/>
    <w:rsid w:val="00042321"/>
    <w:rsid w:val="000453BA"/>
    <w:rsid w:val="000463CA"/>
    <w:rsid w:val="00053E6F"/>
    <w:rsid w:val="00055598"/>
    <w:rsid w:val="00056745"/>
    <w:rsid w:val="00063DF5"/>
    <w:rsid w:val="000642AE"/>
    <w:rsid w:val="000642EF"/>
    <w:rsid w:val="0008032E"/>
    <w:rsid w:val="0008329F"/>
    <w:rsid w:val="00085BBF"/>
    <w:rsid w:val="00094D81"/>
    <w:rsid w:val="000A1539"/>
    <w:rsid w:val="000A7944"/>
    <w:rsid w:val="000B45BA"/>
    <w:rsid w:val="000B5C7E"/>
    <w:rsid w:val="000B7F12"/>
    <w:rsid w:val="000C2C23"/>
    <w:rsid w:val="000C3FDA"/>
    <w:rsid w:val="000C7451"/>
    <w:rsid w:val="000D3CE2"/>
    <w:rsid w:val="000D5EC8"/>
    <w:rsid w:val="000E1285"/>
    <w:rsid w:val="000E21C1"/>
    <w:rsid w:val="000E37E9"/>
    <w:rsid w:val="000F4117"/>
    <w:rsid w:val="000F5AFB"/>
    <w:rsid w:val="000F6A6E"/>
    <w:rsid w:val="001074D2"/>
    <w:rsid w:val="00120DDB"/>
    <w:rsid w:val="00122D8B"/>
    <w:rsid w:val="00126B27"/>
    <w:rsid w:val="00127348"/>
    <w:rsid w:val="00127DD2"/>
    <w:rsid w:val="00130613"/>
    <w:rsid w:val="00131A3B"/>
    <w:rsid w:val="00131F6B"/>
    <w:rsid w:val="00134872"/>
    <w:rsid w:val="00137B12"/>
    <w:rsid w:val="001438DF"/>
    <w:rsid w:val="0014454C"/>
    <w:rsid w:val="0015100C"/>
    <w:rsid w:val="00153598"/>
    <w:rsid w:val="00156F32"/>
    <w:rsid w:val="0016150F"/>
    <w:rsid w:val="00166C2F"/>
    <w:rsid w:val="001702B8"/>
    <w:rsid w:val="00172D57"/>
    <w:rsid w:val="00177F93"/>
    <w:rsid w:val="001816D0"/>
    <w:rsid w:val="00185E2D"/>
    <w:rsid w:val="0019092F"/>
    <w:rsid w:val="001A0C00"/>
    <w:rsid w:val="001A198F"/>
    <w:rsid w:val="001A77FF"/>
    <w:rsid w:val="001B2BAF"/>
    <w:rsid w:val="001B62F0"/>
    <w:rsid w:val="001C0D7E"/>
    <w:rsid w:val="001C323C"/>
    <w:rsid w:val="001C3324"/>
    <w:rsid w:val="001C3EE0"/>
    <w:rsid w:val="001D29C2"/>
    <w:rsid w:val="001D5918"/>
    <w:rsid w:val="001E7ACE"/>
    <w:rsid w:val="001F0C64"/>
    <w:rsid w:val="001F2ADC"/>
    <w:rsid w:val="001F342A"/>
    <w:rsid w:val="001F58C5"/>
    <w:rsid w:val="00212854"/>
    <w:rsid w:val="002169E4"/>
    <w:rsid w:val="002176CF"/>
    <w:rsid w:val="0022442C"/>
    <w:rsid w:val="002305C0"/>
    <w:rsid w:val="00230FF6"/>
    <w:rsid w:val="00232084"/>
    <w:rsid w:val="00237FA1"/>
    <w:rsid w:val="00240B0A"/>
    <w:rsid w:val="0025009A"/>
    <w:rsid w:val="00250F1D"/>
    <w:rsid w:val="00251E5C"/>
    <w:rsid w:val="0025351D"/>
    <w:rsid w:val="00256FB9"/>
    <w:rsid w:val="00261C38"/>
    <w:rsid w:val="00263809"/>
    <w:rsid w:val="00264EA1"/>
    <w:rsid w:val="002729A4"/>
    <w:rsid w:val="00272DA8"/>
    <w:rsid w:val="002756A4"/>
    <w:rsid w:val="00275890"/>
    <w:rsid w:val="00276770"/>
    <w:rsid w:val="00276BFC"/>
    <w:rsid w:val="00276FF0"/>
    <w:rsid w:val="002809F0"/>
    <w:rsid w:val="00280EAC"/>
    <w:rsid w:val="00281149"/>
    <w:rsid w:val="00281D5E"/>
    <w:rsid w:val="002A3218"/>
    <w:rsid w:val="002A7F45"/>
    <w:rsid w:val="002B043C"/>
    <w:rsid w:val="002B580C"/>
    <w:rsid w:val="002B7C77"/>
    <w:rsid w:val="002C0D21"/>
    <w:rsid w:val="002D0FC8"/>
    <w:rsid w:val="002D2D66"/>
    <w:rsid w:val="002E34F0"/>
    <w:rsid w:val="002F1EE3"/>
    <w:rsid w:val="002F475F"/>
    <w:rsid w:val="002F4E3E"/>
    <w:rsid w:val="002F5ED7"/>
    <w:rsid w:val="002F6E47"/>
    <w:rsid w:val="00306E35"/>
    <w:rsid w:val="00310040"/>
    <w:rsid w:val="003106BD"/>
    <w:rsid w:val="00312C4B"/>
    <w:rsid w:val="00314472"/>
    <w:rsid w:val="0031770A"/>
    <w:rsid w:val="003202EF"/>
    <w:rsid w:val="00320964"/>
    <w:rsid w:val="00321F14"/>
    <w:rsid w:val="003340A6"/>
    <w:rsid w:val="0034717D"/>
    <w:rsid w:val="00356B05"/>
    <w:rsid w:val="00361DFC"/>
    <w:rsid w:val="00364417"/>
    <w:rsid w:val="003666DC"/>
    <w:rsid w:val="003701A7"/>
    <w:rsid w:val="00381C66"/>
    <w:rsid w:val="00382D5F"/>
    <w:rsid w:val="003833AC"/>
    <w:rsid w:val="00387697"/>
    <w:rsid w:val="00390E2E"/>
    <w:rsid w:val="0039136B"/>
    <w:rsid w:val="003A10BC"/>
    <w:rsid w:val="003A278B"/>
    <w:rsid w:val="003A2E1A"/>
    <w:rsid w:val="003A6752"/>
    <w:rsid w:val="003B566C"/>
    <w:rsid w:val="003B706E"/>
    <w:rsid w:val="003C2540"/>
    <w:rsid w:val="003D276F"/>
    <w:rsid w:val="003D546C"/>
    <w:rsid w:val="003E12CD"/>
    <w:rsid w:val="003E384B"/>
    <w:rsid w:val="003F0CC0"/>
    <w:rsid w:val="003F43D9"/>
    <w:rsid w:val="003F44F9"/>
    <w:rsid w:val="003F53B2"/>
    <w:rsid w:val="003F6092"/>
    <w:rsid w:val="004009E9"/>
    <w:rsid w:val="00402854"/>
    <w:rsid w:val="00410BDC"/>
    <w:rsid w:val="00414207"/>
    <w:rsid w:val="00414C4B"/>
    <w:rsid w:val="00416DC1"/>
    <w:rsid w:val="00417178"/>
    <w:rsid w:val="0042313F"/>
    <w:rsid w:val="00433343"/>
    <w:rsid w:val="00433D00"/>
    <w:rsid w:val="0043734B"/>
    <w:rsid w:val="00437FC4"/>
    <w:rsid w:val="00443BA0"/>
    <w:rsid w:val="00444265"/>
    <w:rsid w:val="004476D0"/>
    <w:rsid w:val="00447AB6"/>
    <w:rsid w:val="00463C21"/>
    <w:rsid w:val="00464AEF"/>
    <w:rsid w:val="004735D8"/>
    <w:rsid w:val="00477575"/>
    <w:rsid w:val="0048290C"/>
    <w:rsid w:val="00482E64"/>
    <w:rsid w:val="00485F8C"/>
    <w:rsid w:val="00491A9D"/>
    <w:rsid w:val="00493425"/>
    <w:rsid w:val="00494140"/>
    <w:rsid w:val="00495230"/>
    <w:rsid w:val="004A5E94"/>
    <w:rsid w:val="004B3DF1"/>
    <w:rsid w:val="004B653F"/>
    <w:rsid w:val="004C2829"/>
    <w:rsid w:val="004C7313"/>
    <w:rsid w:val="004C763F"/>
    <w:rsid w:val="004D09C8"/>
    <w:rsid w:val="004E33CE"/>
    <w:rsid w:val="004E56B0"/>
    <w:rsid w:val="004F18F7"/>
    <w:rsid w:val="004F40DC"/>
    <w:rsid w:val="004F522E"/>
    <w:rsid w:val="004F7AA5"/>
    <w:rsid w:val="00501AA0"/>
    <w:rsid w:val="0050518D"/>
    <w:rsid w:val="00514FED"/>
    <w:rsid w:val="00515E25"/>
    <w:rsid w:val="00516E70"/>
    <w:rsid w:val="005226CF"/>
    <w:rsid w:val="00523B04"/>
    <w:rsid w:val="00527E82"/>
    <w:rsid w:val="005317BB"/>
    <w:rsid w:val="0053370A"/>
    <w:rsid w:val="00533B8E"/>
    <w:rsid w:val="005406C8"/>
    <w:rsid w:val="00541FFA"/>
    <w:rsid w:val="005439E4"/>
    <w:rsid w:val="005517B0"/>
    <w:rsid w:val="0055316A"/>
    <w:rsid w:val="00553387"/>
    <w:rsid w:val="00556B03"/>
    <w:rsid w:val="00557B0B"/>
    <w:rsid w:val="005607EB"/>
    <w:rsid w:val="005612E9"/>
    <w:rsid w:val="005723D2"/>
    <w:rsid w:val="005730C9"/>
    <w:rsid w:val="00576E5A"/>
    <w:rsid w:val="00581DF0"/>
    <w:rsid w:val="00585C4F"/>
    <w:rsid w:val="0059513E"/>
    <w:rsid w:val="005A07AE"/>
    <w:rsid w:val="005A35AA"/>
    <w:rsid w:val="005A77EE"/>
    <w:rsid w:val="005B3192"/>
    <w:rsid w:val="005B5D70"/>
    <w:rsid w:val="005C0881"/>
    <w:rsid w:val="005C3C72"/>
    <w:rsid w:val="005C5DD1"/>
    <w:rsid w:val="005D2C66"/>
    <w:rsid w:val="005D5300"/>
    <w:rsid w:val="005E13E0"/>
    <w:rsid w:val="005E71E3"/>
    <w:rsid w:val="005F1D24"/>
    <w:rsid w:val="005F6871"/>
    <w:rsid w:val="005F7D8B"/>
    <w:rsid w:val="006002FB"/>
    <w:rsid w:val="00601CFC"/>
    <w:rsid w:val="0060260C"/>
    <w:rsid w:val="00603BDC"/>
    <w:rsid w:val="00605C29"/>
    <w:rsid w:val="00607A77"/>
    <w:rsid w:val="00610F56"/>
    <w:rsid w:val="006163EF"/>
    <w:rsid w:val="006214EA"/>
    <w:rsid w:val="00623A4F"/>
    <w:rsid w:val="0062459C"/>
    <w:rsid w:val="00625EAC"/>
    <w:rsid w:val="00644651"/>
    <w:rsid w:val="00654FB1"/>
    <w:rsid w:val="006611ED"/>
    <w:rsid w:val="006638B1"/>
    <w:rsid w:val="00664A5A"/>
    <w:rsid w:val="006675A7"/>
    <w:rsid w:val="00667F64"/>
    <w:rsid w:val="00674EF0"/>
    <w:rsid w:val="0067535A"/>
    <w:rsid w:val="00683A36"/>
    <w:rsid w:val="00692BE2"/>
    <w:rsid w:val="00693958"/>
    <w:rsid w:val="00693A68"/>
    <w:rsid w:val="00695F64"/>
    <w:rsid w:val="006A03B9"/>
    <w:rsid w:val="006A0C60"/>
    <w:rsid w:val="006A112C"/>
    <w:rsid w:val="006A3BBB"/>
    <w:rsid w:val="006A4921"/>
    <w:rsid w:val="006B4704"/>
    <w:rsid w:val="006B68CE"/>
    <w:rsid w:val="006B75D4"/>
    <w:rsid w:val="006C07A8"/>
    <w:rsid w:val="006C0A79"/>
    <w:rsid w:val="006C17CC"/>
    <w:rsid w:val="006C1A1A"/>
    <w:rsid w:val="006C5AF8"/>
    <w:rsid w:val="006C729B"/>
    <w:rsid w:val="006D70F8"/>
    <w:rsid w:val="006E549A"/>
    <w:rsid w:val="006E6195"/>
    <w:rsid w:val="006F7EE9"/>
    <w:rsid w:val="0070438E"/>
    <w:rsid w:val="0071012C"/>
    <w:rsid w:val="00710816"/>
    <w:rsid w:val="00711993"/>
    <w:rsid w:val="00716C38"/>
    <w:rsid w:val="00722F4B"/>
    <w:rsid w:val="00724BCE"/>
    <w:rsid w:val="0073051A"/>
    <w:rsid w:val="0073252E"/>
    <w:rsid w:val="00734D1C"/>
    <w:rsid w:val="00735858"/>
    <w:rsid w:val="007359D8"/>
    <w:rsid w:val="00740B8F"/>
    <w:rsid w:val="007433CE"/>
    <w:rsid w:val="00747393"/>
    <w:rsid w:val="007517DC"/>
    <w:rsid w:val="00752F98"/>
    <w:rsid w:val="00753206"/>
    <w:rsid w:val="00755C5A"/>
    <w:rsid w:val="007577AB"/>
    <w:rsid w:val="007611EF"/>
    <w:rsid w:val="00762B2C"/>
    <w:rsid w:val="0076359E"/>
    <w:rsid w:val="00764444"/>
    <w:rsid w:val="007730C4"/>
    <w:rsid w:val="007756C2"/>
    <w:rsid w:val="00776399"/>
    <w:rsid w:val="00790CF7"/>
    <w:rsid w:val="00795F84"/>
    <w:rsid w:val="00796BA2"/>
    <w:rsid w:val="007A631D"/>
    <w:rsid w:val="007B0477"/>
    <w:rsid w:val="007B113A"/>
    <w:rsid w:val="007B1E80"/>
    <w:rsid w:val="007C1C92"/>
    <w:rsid w:val="007C409D"/>
    <w:rsid w:val="007C4908"/>
    <w:rsid w:val="007C70B3"/>
    <w:rsid w:val="007C71BE"/>
    <w:rsid w:val="007D0844"/>
    <w:rsid w:val="007E18C2"/>
    <w:rsid w:val="007E1E37"/>
    <w:rsid w:val="007E3128"/>
    <w:rsid w:val="007E5027"/>
    <w:rsid w:val="007F621A"/>
    <w:rsid w:val="007F73A0"/>
    <w:rsid w:val="00801F68"/>
    <w:rsid w:val="008060A2"/>
    <w:rsid w:val="00811FB8"/>
    <w:rsid w:val="00813862"/>
    <w:rsid w:val="008143F4"/>
    <w:rsid w:val="00815747"/>
    <w:rsid w:val="008235C0"/>
    <w:rsid w:val="008241C7"/>
    <w:rsid w:val="00824356"/>
    <w:rsid w:val="008274A9"/>
    <w:rsid w:val="00827CEC"/>
    <w:rsid w:val="0083421F"/>
    <w:rsid w:val="008346D3"/>
    <w:rsid w:val="00834F14"/>
    <w:rsid w:val="00836670"/>
    <w:rsid w:val="00847EFC"/>
    <w:rsid w:val="008506C4"/>
    <w:rsid w:val="008512DD"/>
    <w:rsid w:val="008712FC"/>
    <w:rsid w:val="00884A10"/>
    <w:rsid w:val="0089203A"/>
    <w:rsid w:val="00892EB2"/>
    <w:rsid w:val="0089523A"/>
    <w:rsid w:val="008959F0"/>
    <w:rsid w:val="0089685A"/>
    <w:rsid w:val="008A4DCE"/>
    <w:rsid w:val="008A77A1"/>
    <w:rsid w:val="008B1026"/>
    <w:rsid w:val="008B25E3"/>
    <w:rsid w:val="008C0C79"/>
    <w:rsid w:val="008C28E9"/>
    <w:rsid w:val="008D3136"/>
    <w:rsid w:val="008D4BA5"/>
    <w:rsid w:val="008D771E"/>
    <w:rsid w:val="008F0FC1"/>
    <w:rsid w:val="008F173C"/>
    <w:rsid w:val="008F3BEA"/>
    <w:rsid w:val="008F79C3"/>
    <w:rsid w:val="009002F0"/>
    <w:rsid w:val="0090097A"/>
    <w:rsid w:val="009027D2"/>
    <w:rsid w:val="009027E9"/>
    <w:rsid w:val="009047DD"/>
    <w:rsid w:val="00916694"/>
    <w:rsid w:val="00922F9E"/>
    <w:rsid w:val="00927266"/>
    <w:rsid w:val="00933F54"/>
    <w:rsid w:val="0093412A"/>
    <w:rsid w:val="0094062F"/>
    <w:rsid w:val="00943F66"/>
    <w:rsid w:val="0094442C"/>
    <w:rsid w:val="0094478A"/>
    <w:rsid w:val="0095568B"/>
    <w:rsid w:val="00964D42"/>
    <w:rsid w:val="00971B1E"/>
    <w:rsid w:val="00972703"/>
    <w:rsid w:val="00977744"/>
    <w:rsid w:val="009778AF"/>
    <w:rsid w:val="009812C5"/>
    <w:rsid w:val="00981E23"/>
    <w:rsid w:val="00982AF7"/>
    <w:rsid w:val="00982E08"/>
    <w:rsid w:val="009847D8"/>
    <w:rsid w:val="00987F18"/>
    <w:rsid w:val="009945F4"/>
    <w:rsid w:val="0099544E"/>
    <w:rsid w:val="00997AB2"/>
    <w:rsid w:val="009A1EA2"/>
    <w:rsid w:val="009A20C4"/>
    <w:rsid w:val="009A2CF3"/>
    <w:rsid w:val="009A5C65"/>
    <w:rsid w:val="009B07C5"/>
    <w:rsid w:val="009B3AB9"/>
    <w:rsid w:val="009B5C06"/>
    <w:rsid w:val="009C1875"/>
    <w:rsid w:val="009C1B7D"/>
    <w:rsid w:val="009C1C5F"/>
    <w:rsid w:val="009C2138"/>
    <w:rsid w:val="009D7B74"/>
    <w:rsid w:val="009E4628"/>
    <w:rsid w:val="009E4F33"/>
    <w:rsid w:val="009E5661"/>
    <w:rsid w:val="009E5D05"/>
    <w:rsid w:val="009E64DA"/>
    <w:rsid w:val="009E7B72"/>
    <w:rsid w:val="009F488D"/>
    <w:rsid w:val="00A00CBB"/>
    <w:rsid w:val="00A064DC"/>
    <w:rsid w:val="00A104C5"/>
    <w:rsid w:val="00A10BC3"/>
    <w:rsid w:val="00A13110"/>
    <w:rsid w:val="00A174B7"/>
    <w:rsid w:val="00A230CA"/>
    <w:rsid w:val="00A3226D"/>
    <w:rsid w:val="00A337C7"/>
    <w:rsid w:val="00A33BB9"/>
    <w:rsid w:val="00A37A88"/>
    <w:rsid w:val="00A424AA"/>
    <w:rsid w:val="00A50EA8"/>
    <w:rsid w:val="00A54FCD"/>
    <w:rsid w:val="00A5564C"/>
    <w:rsid w:val="00A57509"/>
    <w:rsid w:val="00A66E9A"/>
    <w:rsid w:val="00A73D81"/>
    <w:rsid w:val="00A869FD"/>
    <w:rsid w:val="00A95490"/>
    <w:rsid w:val="00A95677"/>
    <w:rsid w:val="00A97A32"/>
    <w:rsid w:val="00AA4012"/>
    <w:rsid w:val="00AA493E"/>
    <w:rsid w:val="00AA4D98"/>
    <w:rsid w:val="00AB01F0"/>
    <w:rsid w:val="00AB3EB5"/>
    <w:rsid w:val="00AB6C37"/>
    <w:rsid w:val="00AC641A"/>
    <w:rsid w:val="00AC66BC"/>
    <w:rsid w:val="00AC67B5"/>
    <w:rsid w:val="00AC6D1E"/>
    <w:rsid w:val="00AE1AC1"/>
    <w:rsid w:val="00AE2745"/>
    <w:rsid w:val="00AF1A7B"/>
    <w:rsid w:val="00B00D5C"/>
    <w:rsid w:val="00B044EB"/>
    <w:rsid w:val="00B0450C"/>
    <w:rsid w:val="00B07B86"/>
    <w:rsid w:val="00B1624D"/>
    <w:rsid w:val="00B37F4F"/>
    <w:rsid w:val="00B458EC"/>
    <w:rsid w:val="00B5211F"/>
    <w:rsid w:val="00B54906"/>
    <w:rsid w:val="00B57E17"/>
    <w:rsid w:val="00B61A8E"/>
    <w:rsid w:val="00B62CD0"/>
    <w:rsid w:val="00B648F7"/>
    <w:rsid w:val="00B65933"/>
    <w:rsid w:val="00B66D14"/>
    <w:rsid w:val="00B74987"/>
    <w:rsid w:val="00B76BB7"/>
    <w:rsid w:val="00B8152C"/>
    <w:rsid w:val="00B81D11"/>
    <w:rsid w:val="00B83FBF"/>
    <w:rsid w:val="00B92B58"/>
    <w:rsid w:val="00B92B76"/>
    <w:rsid w:val="00BA25D8"/>
    <w:rsid w:val="00BA2D4B"/>
    <w:rsid w:val="00BA4BAA"/>
    <w:rsid w:val="00BA5EB7"/>
    <w:rsid w:val="00BA7261"/>
    <w:rsid w:val="00BB10DB"/>
    <w:rsid w:val="00BC20F7"/>
    <w:rsid w:val="00BC7F62"/>
    <w:rsid w:val="00BD1087"/>
    <w:rsid w:val="00BD453B"/>
    <w:rsid w:val="00BD4F3B"/>
    <w:rsid w:val="00BE302A"/>
    <w:rsid w:val="00BE6812"/>
    <w:rsid w:val="00BE699C"/>
    <w:rsid w:val="00BF0AFA"/>
    <w:rsid w:val="00BF1262"/>
    <w:rsid w:val="00C11A7A"/>
    <w:rsid w:val="00C1324E"/>
    <w:rsid w:val="00C13CDF"/>
    <w:rsid w:val="00C1449A"/>
    <w:rsid w:val="00C20625"/>
    <w:rsid w:val="00C22069"/>
    <w:rsid w:val="00C31DDE"/>
    <w:rsid w:val="00C33F5B"/>
    <w:rsid w:val="00C3510E"/>
    <w:rsid w:val="00C36C28"/>
    <w:rsid w:val="00C41E5A"/>
    <w:rsid w:val="00C455A8"/>
    <w:rsid w:val="00C50E64"/>
    <w:rsid w:val="00C51D7A"/>
    <w:rsid w:val="00C534D3"/>
    <w:rsid w:val="00C538E8"/>
    <w:rsid w:val="00C54209"/>
    <w:rsid w:val="00C65096"/>
    <w:rsid w:val="00C6785F"/>
    <w:rsid w:val="00C74CDF"/>
    <w:rsid w:val="00C75AA9"/>
    <w:rsid w:val="00C75E33"/>
    <w:rsid w:val="00C84076"/>
    <w:rsid w:val="00C87FA7"/>
    <w:rsid w:val="00C90B5F"/>
    <w:rsid w:val="00C92800"/>
    <w:rsid w:val="00C93023"/>
    <w:rsid w:val="00C94B59"/>
    <w:rsid w:val="00C97639"/>
    <w:rsid w:val="00CA49CE"/>
    <w:rsid w:val="00CB3FD3"/>
    <w:rsid w:val="00CB7825"/>
    <w:rsid w:val="00CC24A8"/>
    <w:rsid w:val="00CC38F0"/>
    <w:rsid w:val="00CC4850"/>
    <w:rsid w:val="00CC4B9F"/>
    <w:rsid w:val="00CD00C4"/>
    <w:rsid w:val="00CE6BD1"/>
    <w:rsid w:val="00CF1B66"/>
    <w:rsid w:val="00CF2770"/>
    <w:rsid w:val="00CF50CF"/>
    <w:rsid w:val="00D0084E"/>
    <w:rsid w:val="00D00CB9"/>
    <w:rsid w:val="00D03D1D"/>
    <w:rsid w:val="00D04847"/>
    <w:rsid w:val="00D14CCC"/>
    <w:rsid w:val="00D247E3"/>
    <w:rsid w:val="00D273D1"/>
    <w:rsid w:val="00D27FF1"/>
    <w:rsid w:val="00D47867"/>
    <w:rsid w:val="00D55E92"/>
    <w:rsid w:val="00D560F4"/>
    <w:rsid w:val="00D615F0"/>
    <w:rsid w:val="00D65FA7"/>
    <w:rsid w:val="00D71007"/>
    <w:rsid w:val="00D74FAC"/>
    <w:rsid w:val="00D80126"/>
    <w:rsid w:val="00D85499"/>
    <w:rsid w:val="00D87A95"/>
    <w:rsid w:val="00D91C10"/>
    <w:rsid w:val="00D95ED3"/>
    <w:rsid w:val="00DA66FE"/>
    <w:rsid w:val="00DA67BA"/>
    <w:rsid w:val="00DB04A6"/>
    <w:rsid w:val="00DB057F"/>
    <w:rsid w:val="00DB2FD8"/>
    <w:rsid w:val="00DB6010"/>
    <w:rsid w:val="00DB6BF6"/>
    <w:rsid w:val="00DB709E"/>
    <w:rsid w:val="00DC20C3"/>
    <w:rsid w:val="00DC6445"/>
    <w:rsid w:val="00DD3237"/>
    <w:rsid w:val="00DD6F3B"/>
    <w:rsid w:val="00DE0A34"/>
    <w:rsid w:val="00DE0ACE"/>
    <w:rsid w:val="00DE1086"/>
    <w:rsid w:val="00DE5466"/>
    <w:rsid w:val="00DF009B"/>
    <w:rsid w:val="00DF430B"/>
    <w:rsid w:val="00DF48C4"/>
    <w:rsid w:val="00DF70D9"/>
    <w:rsid w:val="00E01804"/>
    <w:rsid w:val="00E02DA8"/>
    <w:rsid w:val="00E1096B"/>
    <w:rsid w:val="00E122CE"/>
    <w:rsid w:val="00E22446"/>
    <w:rsid w:val="00E23C23"/>
    <w:rsid w:val="00E24752"/>
    <w:rsid w:val="00E26ECF"/>
    <w:rsid w:val="00E30C9F"/>
    <w:rsid w:val="00E31EE7"/>
    <w:rsid w:val="00E329EE"/>
    <w:rsid w:val="00E46CA8"/>
    <w:rsid w:val="00E510CF"/>
    <w:rsid w:val="00E51A01"/>
    <w:rsid w:val="00E54E7E"/>
    <w:rsid w:val="00E56819"/>
    <w:rsid w:val="00E62754"/>
    <w:rsid w:val="00E643E2"/>
    <w:rsid w:val="00E65B8F"/>
    <w:rsid w:val="00E80720"/>
    <w:rsid w:val="00E91FE1"/>
    <w:rsid w:val="00E923A9"/>
    <w:rsid w:val="00E944E5"/>
    <w:rsid w:val="00EB49CE"/>
    <w:rsid w:val="00EB7F21"/>
    <w:rsid w:val="00EC06E2"/>
    <w:rsid w:val="00EC161F"/>
    <w:rsid w:val="00EC1BA6"/>
    <w:rsid w:val="00EC479C"/>
    <w:rsid w:val="00ED2154"/>
    <w:rsid w:val="00ED423B"/>
    <w:rsid w:val="00ED73D1"/>
    <w:rsid w:val="00EE17E8"/>
    <w:rsid w:val="00EE23DD"/>
    <w:rsid w:val="00EE69AC"/>
    <w:rsid w:val="00EF42E7"/>
    <w:rsid w:val="00F018A8"/>
    <w:rsid w:val="00F01EFB"/>
    <w:rsid w:val="00F0594A"/>
    <w:rsid w:val="00F103E7"/>
    <w:rsid w:val="00F10A5F"/>
    <w:rsid w:val="00F11AA7"/>
    <w:rsid w:val="00F16557"/>
    <w:rsid w:val="00F22A23"/>
    <w:rsid w:val="00F26BD1"/>
    <w:rsid w:val="00F26BFC"/>
    <w:rsid w:val="00F27EA0"/>
    <w:rsid w:val="00F30BC0"/>
    <w:rsid w:val="00F416EF"/>
    <w:rsid w:val="00F42DCA"/>
    <w:rsid w:val="00F45D78"/>
    <w:rsid w:val="00F4697E"/>
    <w:rsid w:val="00F640BF"/>
    <w:rsid w:val="00F64E06"/>
    <w:rsid w:val="00F66702"/>
    <w:rsid w:val="00F67A98"/>
    <w:rsid w:val="00F74DB1"/>
    <w:rsid w:val="00F80812"/>
    <w:rsid w:val="00F85E1D"/>
    <w:rsid w:val="00F86881"/>
    <w:rsid w:val="00F911D4"/>
    <w:rsid w:val="00F94018"/>
    <w:rsid w:val="00FA1B79"/>
    <w:rsid w:val="00FA2797"/>
    <w:rsid w:val="00FA5257"/>
    <w:rsid w:val="00FA6477"/>
    <w:rsid w:val="00FB699A"/>
    <w:rsid w:val="00FC3DE4"/>
    <w:rsid w:val="00FC70F3"/>
    <w:rsid w:val="00FD1787"/>
    <w:rsid w:val="00FD18E4"/>
    <w:rsid w:val="00FD37A9"/>
    <w:rsid w:val="00FD57F7"/>
    <w:rsid w:val="00FE116C"/>
    <w:rsid w:val="00FE33A7"/>
    <w:rsid w:val="00FE3C92"/>
    <w:rsid w:val="00FE75AD"/>
    <w:rsid w:val="00FF2176"/>
    <w:rsid w:val="00FF4DB7"/>
    <w:rsid w:val="00FF5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dat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qFormat/>
    <w:rsid w:val="000B5C7E"/>
    <w:pPr>
      <w:widowControl w:val="0"/>
      <w:autoSpaceDE w:val="0"/>
      <w:autoSpaceDN w:val="0"/>
      <w:adjustRightInd w:val="0"/>
      <w:jc w:val="center"/>
      <w:outlineLvl w:val="1"/>
    </w:pPr>
    <w:rPr>
      <w:b/>
      <w:bCs/>
      <w:sz w:val="20"/>
    </w:rPr>
  </w:style>
  <w:style w:type="paragraph" w:styleId="Heading3">
    <w:name w:val="heading 3"/>
    <w:basedOn w:val="Normal"/>
    <w:next w:val="Normal"/>
    <w:qFormat/>
    <w:rsid w:val="000B5C7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2"/>
    </w:pPr>
  </w:style>
  <w:style w:type="paragraph" w:styleId="Heading4">
    <w:name w:val="heading 4"/>
    <w:basedOn w:val="Normal"/>
    <w:next w:val="Normal"/>
    <w:qFormat/>
    <w:rsid w:val="000B5C7E"/>
    <w:pPr>
      <w:widowControl w:val="0"/>
      <w:autoSpaceDE w:val="0"/>
      <w:autoSpaceDN w:val="0"/>
      <w:adjustRightInd w:val="0"/>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B5C7E"/>
  </w:style>
  <w:style w:type="character" w:customStyle="1" w:styleId="Hypertext">
    <w:name w:val="Hypertext"/>
    <w:rsid w:val="000B5C7E"/>
    <w:rPr>
      <w:color w:val="0000FF"/>
      <w:u w:val="single"/>
    </w:rPr>
  </w:style>
  <w:style w:type="paragraph" w:styleId="Header">
    <w:name w:val="header"/>
    <w:basedOn w:val="Normal"/>
    <w:rsid w:val="000B5C7E"/>
    <w:pPr>
      <w:widowControl w:val="0"/>
      <w:tabs>
        <w:tab w:val="left" w:pos="0"/>
        <w:tab w:val="center" w:pos="4320"/>
        <w:tab w:val="right" w:pos="8640"/>
      </w:tabs>
      <w:autoSpaceDE w:val="0"/>
      <w:autoSpaceDN w:val="0"/>
      <w:adjustRightInd w:val="0"/>
    </w:pPr>
    <w:rPr>
      <w:sz w:val="20"/>
    </w:rPr>
  </w:style>
  <w:style w:type="paragraph" w:styleId="FootnoteText">
    <w:name w:val="footnote text"/>
    <w:basedOn w:val="Normal"/>
    <w:semiHidden/>
    <w:rsid w:val="000B5C7E"/>
    <w:pPr>
      <w:widowControl w:val="0"/>
      <w:autoSpaceDE w:val="0"/>
      <w:autoSpaceDN w:val="0"/>
      <w:adjustRightInd w:val="0"/>
    </w:pPr>
    <w:rPr>
      <w:sz w:val="20"/>
      <w:szCs w:val="20"/>
    </w:rPr>
  </w:style>
  <w:style w:type="character" w:styleId="Strong">
    <w:name w:val="Strong"/>
    <w:qFormat/>
    <w:rsid w:val="000B5C7E"/>
    <w:rPr>
      <w:b/>
      <w:bCs/>
    </w:rPr>
  </w:style>
  <w:style w:type="paragraph" w:styleId="BodyTextIndent">
    <w:name w:val="Body Text Indent"/>
    <w:basedOn w:val="Normal"/>
    <w:rsid w:val="000B5C7E"/>
    <w:pPr>
      <w:widowControl w:val="0"/>
      <w:autoSpaceDE w:val="0"/>
      <w:autoSpaceDN w:val="0"/>
      <w:adjustRightInd w:val="0"/>
      <w:ind w:firstLine="720"/>
    </w:pPr>
  </w:style>
  <w:style w:type="paragraph" w:styleId="BodyText3">
    <w:name w:val="Body Text 3"/>
    <w:basedOn w:val="Normal"/>
    <w:rsid w:val="000B5C7E"/>
    <w:pPr>
      <w:widowControl w:val="0"/>
      <w:autoSpaceDE w:val="0"/>
      <w:autoSpaceDN w:val="0"/>
      <w:adjustRightInd w:val="0"/>
    </w:pPr>
  </w:style>
  <w:style w:type="paragraph" w:styleId="BalloonText">
    <w:name w:val="Balloon Text"/>
    <w:basedOn w:val="Normal"/>
    <w:semiHidden/>
    <w:rsid w:val="0090097A"/>
    <w:rPr>
      <w:rFonts w:ascii="Tahoma" w:hAnsi="Tahoma" w:cs="Tahoma"/>
      <w:sz w:val="16"/>
      <w:szCs w:val="16"/>
    </w:rPr>
  </w:style>
  <w:style w:type="character" w:styleId="Hyperlink">
    <w:name w:val="Hyperlink"/>
    <w:rsid w:val="00464AEF"/>
    <w:rPr>
      <w:color w:val="0000FF"/>
      <w:u w:val="single"/>
    </w:rPr>
  </w:style>
  <w:style w:type="table" w:styleId="TableGrid">
    <w:name w:val="Table Grid"/>
    <w:basedOn w:val="TableNormal"/>
    <w:rsid w:val="00321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23B04"/>
    <w:pPr>
      <w:tabs>
        <w:tab w:val="center" w:pos="4320"/>
        <w:tab w:val="right" w:pos="8640"/>
      </w:tabs>
    </w:pPr>
  </w:style>
  <w:style w:type="character" w:styleId="CommentReference">
    <w:name w:val="annotation reference"/>
    <w:basedOn w:val="DefaultParagraphFont"/>
    <w:rsid w:val="006B75D4"/>
    <w:rPr>
      <w:sz w:val="16"/>
      <w:szCs w:val="16"/>
    </w:rPr>
  </w:style>
  <w:style w:type="paragraph" w:styleId="CommentText">
    <w:name w:val="annotation text"/>
    <w:basedOn w:val="Normal"/>
    <w:link w:val="CommentTextChar"/>
    <w:rsid w:val="006B75D4"/>
    <w:rPr>
      <w:sz w:val="20"/>
      <w:szCs w:val="20"/>
    </w:rPr>
  </w:style>
  <w:style w:type="character" w:customStyle="1" w:styleId="CommentTextChar">
    <w:name w:val="Comment Text Char"/>
    <w:basedOn w:val="DefaultParagraphFont"/>
    <w:link w:val="CommentText"/>
    <w:rsid w:val="006B75D4"/>
  </w:style>
  <w:style w:type="paragraph" w:styleId="CommentSubject">
    <w:name w:val="annotation subject"/>
    <w:basedOn w:val="CommentText"/>
    <w:next w:val="CommentText"/>
    <w:link w:val="CommentSubjectChar"/>
    <w:rsid w:val="006B75D4"/>
    <w:rPr>
      <w:b/>
      <w:bCs/>
    </w:rPr>
  </w:style>
  <w:style w:type="character" w:customStyle="1" w:styleId="CommentSubjectChar">
    <w:name w:val="Comment Subject Char"/>
    <w:basedOn w:val="CommentTextChar"/>
    <w:link w:val="CommentSubject"/>
    <w:rsid w:val="006B75D4"/>
    <w:rPr>
      <w:b/>
      <w:bCs/>
    </w:rPr>
  </w:style>
  <w:style w:type="character" w:customStyle="1" w:styleId="FooterChar">
    <w:name w:val="Footer Char"/>
    <w:basedOn w:val="DefaultParagraphFont"/>
    <w:link w:val="Footer"/>
    <w:uiPriority w:val="99"/>
    <w:rsid w:val="007C70B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qFormat/>
    <w:rsid w:val="000B5C7E"/>
    <w:pPr>
      <w:widowControl w:val="0"/>
      <w:autoSpaceDE w:val="0"/>
      <w:autoSpaceDN w:val="0"/>
      <w:adjustRightInd w:val="0"/>
      <w:jc w:val="center"/>
      <w:outlineLvl w:val="1"/>
    </w:pPr>
    <w:rPr>
      <w:b/>
      <w:bCs/>
      <w:sz w:val="20"/>
    </w:rPr>
  </w:style>
  <w:style w:type="paragraph" w:styleId="Heading3">
    <w:name w:val="heading 3"/>
    <w:basedOn w:val="Normal"/>
    <w:next w:val="Normal"/>
    <w:qFormat/>
    <w:rsid w:val="000B5C7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2"/>
    </w:pPr>
  </w:style>
  <w:style w:type="paragraph" w:styleId="Heading4">
    <w:name w:val="heading 4"/>
    <w:basedOn w:val="Normal"/>
    <w:next w:val="Normal"/>
    <w:qFormat/>
    <w:rsid w:val="000B5C7E"/>
    <w:pPr>
      <w:widowControl w:val="0"/>
      <w:autoSpaceDE w:val="0"/>
      <w:autoSpaceDN w:val="0"/>
      <w:adjustRightInd w:val="0"/>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B5C7E"/>
  </w:style>
  <w:style w:type="character" w:customStyle="1" w:styleId="Hypertext">
    <w:name w:val="Hypertext"/>
    <w:rsid w:val="000B5C7E"/>
    <w:rPr>
      <w:color w:val="0000FF"/>
      <w:u w:val="single"/>
    </w:rPr>
  </w:style>
  <w:style w:type="paragraph" w:styleId="Header">
    <w:name w:val="header"/>
    <w:basedOn w:val="Normal"/>
    <w:rsid w:val="000B5C7E"/>
    <w:pPr>
      <w:widowControl w:val="0"/>
      <w:tabs>
        <w:tab w:val="left" w:pos="0"/>
        <w:tab w:val="center" w:pos="4320"/>
        <w:tab w:val="right" w:pos="8640"/>
      </w:tabs>
      <w:autoSpaceDE w:val="0"/>
      <w:autoSpaceDN w:val="0"/>
      <w:adjustRightInd w:val="0"/>
    </w:pPr>
    <w:rPr>
      <w:sz w:val="20"/>
    </w:rPr>
  </w:style>
  <w:style w:type="paragraph" w:styleId="FootnoteText">
    <w:name w:val="footnote text"/>
    <w:basedOn w:val="Normal"/>
    <w:semiHidden/>
    <w:rsid w:val="000B5C7E"/>
    <w:pPr>
      <w:widowControl w:val="0"/>
      <w:autoSpaceDE w:val="0"/>
      <w:autoSpaceDN w:val="0"/>
      <w:adjustRightInd w:val="0"/>
    </w:pPr>
    <w:rPr>
      <w:sz w:val="20"/>
      <w:szCs w:val="20"/>
    </w:rPr>
  </w:style>
  <w:style w:type="character" w:styleId="Strong">
    <w:name w:val="Strong"/>
    <w:qFormat/>
    <w:rsid w:val="000B5C7E"/>
    <w:rPr>
      <w:b/>
      <w:bCs/>
    </w:rPr>
  </w:style>
  <w:style w:type="paragraph" w:styleId="BodyTextIndent">
    <w:name w:val="Body Text Indent"/>
    <w:basedOn w:val="Normal"/>
    <w:rsid w:val="000B5C7E"/>
    <w:pPr>
      <w:widowControl w:val="0"/>
      <w:autoSpaceDE w:val="0"/>
      <w:autoSpaceDN w:val="0"/>
      <w:adjustRightInd w:val="0"/>
      <w:ind w:firstLine="720"/>
    </w:pPr>
  </w:style>
  <w:style w:type="paragraph" w:styleId="BodyText3">
    <w:name w:val="Body Text 3"/>
    <w:basedOn w:val="Normal"/>
    <w:rsid w:val="000B5C7E"/>
    <w:pPr>
      <w:widowControl w:val="0"/>
      <w:autoSpaceDE w:val="0"/>
      <w:autoSpaceDN w:val="0"/>
      <w:adjustRightInd w:val="0"/>
    </w:pPr>
  </w:style>
  <w:style w:type="paragraph" w:styleId="BalloonText">
    <w:name w:val="Balloon Text"/>
    <w:basedOn w:val="Normal"/>
    <w:semiHidden/>
    <w:rsid w:val="0090097A"/>
    <w:rPr>
      <w:rFonts w:ascii="Tahoma" w:hAnsi="Tahoma" w:cs="Tahoma"/>
      <w:sz w:val="16"/>
      <w:szCs w:val="16"/>
    </w:rPr>
  </w:style>
  <w:style w:type="character" w:styleId="Hyperlink">
    <w:name w:val="Hyperlink"/>
    <w:rsid w:val="00464AEF"/>
    <w:rPr>
      <w:color w:val="0000FF"/>
      <w:u w:val="single"/>
    </w:rPr>
  </w:style>
  <w:style w:type="table" w:styleId="TableGrid">
    <w:name w:val="Table Grid"/>
    <w:basedOn w:val="TableNormal"/>
    <w:rsid w:val="00321F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23B04"/>
    <w:pPr>
      <w:tabs>
        <w:tab w:val="center" w:pos="4320"/>
        <w:tab w:val="right" w:pos="8640"/>
      </w:tabs>
    </w:pPr>
  </w:style>
  <w:style w:type="character" w:styleId="CommentReference">
    <w:name w:val="annotation reference"/>
    <w:basedOn w:val="DefaultParagraphFont"/>
    <w:rsid w:val="006B75D4"/>
    <w:rPr>
      <w:sz w:val="16"/>
      <w:szCs w:val="16"/>
    </w:rPr>
  </w:style>
  <w:style w:type="paragraph" w:styleId="CommentText">
    <w:name w:val="annotation text"/>
    <w:basedOn w:val="Normal"/>
    <w:link w:val="CommentTextChar"/>
    <w:rsid w:val="006B75D4"/>
    <w:rPr>
      <w:sz w:val="20"/>
      <w:szCs w:val="20"/>
    </w:rPr>
  </w:style>
  <w:style w:type="character" w:customStyle="1" w:styleId="CommentTextChar">
    <w:name w:val="Comment Text Char"/>
    <w:basedOn w:val="DefaultParagraphFont"/>
    <w:link w:val="CommentText"/>
    <w:rsid w:val="006B75D4"/>
  </w:style>
  <w:style w:type="paragraph" w:styleId="CommentSubject">
    <w:name w:val="annotation subject"/>
    <w:basedOn w:val="CommentText"/>
    <w:next w:val="CommentText"/>
    <w:link w:val="CommentSubjectChar"/>
    <w:rsid w:val="006B75D4"/>
    <w:rPr>
      <w:b/>
      <w:bCs/>
    </w:rPr>
  </w:style>
  <w:style w:type="character" w:customStyle="1" w:styleId="CommentSubjectChar">
    <w:name w:val="Comment Subject Char"/>
    <w:basedOn w:val="CommentTextChar"/>
    <w:link w:val="CommentSubject"/>
    <w:rsid w:val="006B75D4"/>
    <w:rPr>
      <w:b/>
      <w:bCs/>
    </w:rPr>
  </w:style>
  <w:style w:type="character" w:customStyle="1" w:styleId="FooterChar">
    <w:name w:val="Footer Char"/>
    <w:basedOn w:val="DefaultParagraphFont"/>
    <w:link w:val="Footer"/>
    <w:uiPriority w:val="99"/>
    <w:rsid w:val="007C70B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35209">
      <w:bodyDiv w:val="1"/>
      <w:marLeft w:val="0"/>
      <w:marRight w:val="0"/>
      <w:marTop w:val="0"/>
      <w:marBottom w:val="0"/>
      <w:divBdr>
        <w:top w:val="none" w:sz="0" w:space="0" w:color="auto"/>
        <w:left w:val="none" w:sz="0" w:space="0" w:color="auto"/>
        <w:bottom w:val="none" w:sz="0" w:space="0" w:color="auto"/>
        <w:right w:val="none" w:sz="0" w:space="0" w:color="auto"/>
      </w:divBdr>
    </w:div>
    <w:div w:id="215899367">
      <w:bodyDiv w:val="1"/>
      <w:marLeft w:val="0"/>
      <w:marRight w:val="0"/>
      <w:marTop w:val="0"/>
      <w:marBottom w:val="0"/>
      <w:divBdr>
        <w:top w:val="none" w:sz="0" w:space="0" w:color="auto"/>
        <w:left w:val="none" w:sz="0" w:space="0" w:color="auto"/>
        <w:bottom w:val="none" w:sz="0" w:space="0" w:color="auto"/>
        <w:right w:val="none" w:sz="0" w:space="0" w:color="auto"/>
      </w:divBdr>
    </w:div>
    <w:div w:id="227612827">
      <w:bodyDiv w:val="1"/>
      <w:marLeft w:val="0"/>
      <w:marRight w:val="0"/>
      <w:marTop w:val="0"/>
      <w:marBottom w:val="0"/>
      <w:divBdr>
        <w:top w:val="none" w:sz="0" w:space="0" w:color="auto"/>
        <w:left w:val="none" w:sz="0" w:space="0" w:color="auto"/>
        <w:bottom w:val="none" w:sz="0" w:space="0" w:color="auto"/>
        <w:right w:val="none" w:sz="0" w:space="0" w:color="auto"/>
      </w:divBdr>
    </w:div>
    <w:div w:id="319432109">
      <w:bodyDiv w:val="1"/>
      <w:marLeft w:val="0"/>
      <w:marRight w:val="0"/>
      <w:marTop w:val="0"/>
      <w:marBottom w:val="0"/>
      <w:divBdr>
        <w:top w:val="none" w:sz="0" w:space="0" w:color="auto"/>
        <w:left w:val="none" w:sz="0" w:space="0" w:color="auto"/>
        <w:bottom w:val="none" w:sz="0" w:space="0" w:color="auto"/>
        <w:right w:val="none" w:sz="0" w:space="0" w:color="auto"/>
      </w:divBdr>
    </w:div>
    <w:div w:id="674460369">
      <w:bodyDiv w:val="1"/>
      <w:marLeft w:val="0"/>
      <w:marRight w:val="0"/>
      <w:marTop w:val="0"/>
      <w:marBottom w:val="0"/>
      <w:divBdr>
        <w:top w:val="none" w:sz="0" w:space="0" w:color="auto"/>
        <w:left w:val="none" w:sz="0" w:space="0" w:color="auto"/>
        <w:bottom w:val="none" w:sz="0" w:space="0" w:color="auto"/>
        <w:right w:val="none" w:sz="0" w:space="0" w:color="auto"/>
      </w:divBdr>
    </w:div>
    <w:div w:id="1871674760">
      <w:bodyDiv w:val="1"/>
      <w:marLeft w:val="0"/>
      <w:marRight w:val="0"/>
      <w:marTop w:val="0"/>
      <w:marBottom w:val="0"/>
      <w:divBdr>
        <w:top w:val="none" w:sz="0" w:space="0" w:color="auto"/>
        <w:left w:val="none" w:sz="0" w:space="0" w:color="auto"/>
        <w:bottom w:val="none" w:sz="0" w:space="0" w:color="auto"/>
        <w:right w:val="none" w:sz="0" w:space="0" w:color="auto"/>
      </w:divBdr>
    </w:div>
    <w:div w:id="1957055647">
      <w:bodyDiv w:val="1"/>
      <w:marLeft w:val="0"/>
      <w:marRight w:val="0"/>
      <w:marTop w:val="0"/>
      <w:marBottom w:val="0"/>
      <w:divBdr>
        <w:top w:val="none" w:sz="0" w:space="0" w:color="auto"/>
        <w:left w:val="none" w:sz="0" w:space="0" w:color="auto"/>
        <w:bottom w:val="none" w:sz="0" w:space="0" w:color="auto"/>
        <w:right w:val="none" w:sz="0" w:space="0" w:color="auto"/>
      </w:divBdr>
    </w:div>
    <w:div w:id="197270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yers@uwosh.edu" TargetMode="External"/><Relationship Id="rId13" Type="http://schemas.openxmlformats.org/officeDocument/2006/relationships/chart" Target="charts/chart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RJohnson@creighton.edu" TargetMode="Externa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yperlink" Target="mailto:gjensen@niu.edu" TargetMode="External"/><Relationship Id="rId4" Type="http://schemas.openxmlformats.org/officeDocument/2006/relationships/settings" Target="settings.xml"/><Relationship Id="rId9" Type="http://schemas.openxmlformats.org/officeDocument/2006/relationships/hyperlink" Target="mailto:luis.garcia@fau.edu"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'Figure 1'!$D$2:$D$5</c:f>
              <c:strCache>
                <c:ptCount val="1"/>
                <c:pt idx="0">
                  <c:v>SBBI Small Index</c:v>
                </c:pt>
              </c:strCache>
            </c:strRef>
          </c:tx>
          <c:invertIfNegative val="0"/>
          <c:cat>
            <c:strRef>
              <c:f>'Figure 1'!$C$6:$C$7</c:f>
              <c:strCache>
                <c:ptCount val="2"/>
                <c:pt idx="0">
                  <c:v>Democrat</c:v>
                </c:pt>
                <c:pt idx="1">
                  <c:v>Republican</c:v>
                </c:pt>
              </c:strCache>
            </c:strRef>
          </c:cat>
          <c:val>
            <c:numRef>
              <c:f>'Figure 1'!$D$6:$D$7</c:f>
              <c:numCache>
                <c:formatCode>0.00%</c:formatCode>
                <c:ptCount val="2"/>
                <c:pt idx="0">
                  <c:v>0.26178444941628243</c:v>
                </c:pt>
                <c:pt idx="1">
                  <c:v>9.4468677640804993E-2</c:v>
                </c:pt>
              </c:numCache>
            </c:numRef>
          </c:val>
        </c:ser>
        <c:ser>
          <c:idx val="1"/>
          <c:order val="1"/>
          <c:tx>
            <c:strRef>
              <c:f>'Figure 1'!$E$2:$E$5</c:f>
              <c:strCache>
                <c:ptCount val="1"/>
                <c:pt idx="0">
                  <c:v>SBBI Large Index</c:v>
                </c:pt>
              </c:strCache>
            </c:strRef>
          </c:tx>
          <c:invertIfNegative val="0"/>
          <c:cat>
            <c:strRef>
              <c:f>'Figure 1'!$C$6:$C$7</c:f>
              <c:strCache>
                <c:ptCount val="2"/>
                <c:pt idx="0">
                  <c:v>Democrat</c:v>
                </c:pt>
                <c:pt idx="1">
                  <c:v>Republican</c:v>
                </c:pt>
              </c:strCache>
            </c:strRef>
          </c:cat>
          <c:val>
            <c:numRef>
              <c:f>'Figure 1'!$E$6:$E$7</c:f>
              <c:numCache>
                <c:formatCode>0.00%</c:formatCode>
                <c:ptCount val="2"/>
                <c:pt idx="0">
                  <c:v>0.14605665750268321</c:v>
                </c:pt>
                <c:pt idx="1">
                  <c:v>7.7327687694741312E-2</c:v>
                </c:pt>
              </c:numCache>
            </c:numRef>
          </c:val>
        </c:ser>
        <c:dLbls>
          <c:showLegendKey val="0"/>
          <c:showVal val="0"/>
          <c:showCatName val="0"/>
          <c:showSerName val="0"/>
          <c:showPercent val="0"/>
          <c:showBubbleSize val="0"/>
        </c:dLbls>
        <c:gapWidth val="150"/>
        <c:axId val="75994624"/>
        <c:axId val="75996160"/>
      </c:barChart>
      <c:catAx>
        <c:axId val="75994624"/>
        <c:scaling>
          <c:orientation val="minMax"/>
        </c:scaling>
        <c:delete val="0"/>
        <c:axPos val="b"/>
        <c:majorTickMark val="out"/>
        <c:minorTickMark val="none"/>
        <c:tickLblPos val="nextTo"/>
        <c:txPr>
          <a:bodyPr/>
          <a:lstStyle/>
          <a:p>
            <a:pPr>
              <a:defRPr sz="1200" baseline="0"/>
            </a:pPr>
            <a:endParaRPr lang="en-US"/>
          </a:p>
        </c:txPr>
        <c:crossAx val="75996160"/>
        <c:crosses val="autoZero"/>
        <c:auto val="1"/>
        <c:lblAlgn val="ctr"/>
        <c:lblOffset val="100"/>
        <c:noMultiLvlLbl val="0"/>
      </c:catAx>
      <c:valAx>
        <c:axId val="75996160"/>
        <c:scaling>
          <c:orientation val="minMax"/>
        </c:scaling>
        <c:delete val="0"/>
        <c:axPos val="l"/>
        <c:majorGridlines/>
        <c:numFmt formatCode="0.00%" sourceLinked="1"/>
        <c:majorTickMark val="out"/>
        <c:minorTickMark val="none"/>
        <c:tickLblPos val="nextTo"/>
        <c:txPr>
          <a:bodyPr/>
          <a:lstStyle/>
          <a:p>
            <a:pPr>
              <a:defRPr sz="1200" baseline="0"/>
            </a:pPr>
            <a:endParaRPr lang="en-US"/>
          </a:p>
        </c:txPr>
        <c:crossAx val="75994624"/>
        <c:crosses val="autoZero"/>
        <c:crossBetween val="between"/>
      </c:valAx>
    </c:plotArea>
    <c:legend>
      <c:legendPos val="r"/>
      <c:layout>
        <c:manualLayout>
          <c:xMode val="edge"/>
          <c:yMode val="edge"/>
          <c:x val="0.70095676883364688"/>
          <c:y val="0.68851852977837158"/>
          <c:w val="0.28249469642740938"/>
          <c:h val="0.23058571732587477"/>
        </c:manualLayout>
      </c:layout>
      <c:overlay val="0"/>
      <c:txPr>
        <a:bodyPr/>
        <a:lstStyle/>
        <a:p>
          <a:pPr>
            <a:defRPr sz="1400" baseline="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3'!$D$1:$D$4</c:f>
              <c:strCache>
                <c:ptCount val="1"/>
                <c:pt idx="0">
                  <c:v>SBBI Small Index</c:v>
                </c:pt>
              </c:strCache>
            </c:strRef>
          </c:tx>
          <c:invertIfNegative val="0"/>
          <c:cat>
            <c:strRef>
              <c:f>'Figure 3'!$C$5:$C$6</c:f>
              <c:strCache>
                <c:ptCount val="2"/>
                <c:pt idx="0">
                  <c:v>Harmony</c:v>
                </c:pt>
                <c:pt idx="1">
                  <c:v>Gridlock</c:v>
                </c:pt>
              </c:strCache>
            </c:strRef>
          </c:cat>
          <c:val>
            <c:numRef>
              <c:f>'Figure 3'!$D$5:$D$6</c:f>
              <c:numCache>
                <c:formatCode>0.00%</c:formatCode>
                <c:ptCount val="2"/>
                <c:pt idx="0">
                  <c:v>0.2988721183391535</c:v>
                </c:pt>
                <c:pt idx="1">
                  <c:v>8.6668950582429738E-2</c:v>
                </c:pt>
              </c:numCache>
            </c:numRef>
          </c:val>
        </c:ser>
        <c:ser>
          <c:idx val="1"/>
          <c:order val="1"/>
          <c:tx>
            <c:strRef>
              <c:f>'Figure 3'!$E$1:$E$4</c:f>
              <c:strCache>
                <c:ptCount val="1"/>
                <c:pt idx="0">
                  <c:v>SBBI Large Index</c:v>
                </c:pt>
              </c:strCache>
            </c:strRef>
          </c:tx>
          <c:invertIfNegative val="0"/>
          <c:cat>
            <c:strRef>
              <c:f>'Figure 3'!$C$5:$C$6</c:f>
              <c:strCache>
                <c:ptCount val="2"/>
                <c:pt idx="0">
                  <c:v>Harmony</c:v>
                </c:pt>
                <c:pt idx="1">
                  <c:v>Gridlock</c:v>
                </c:pt>
              </c:strCache>
            </c:strRef>
          </c:cat>
          <c:val>
            <c:numRef>
              <c:f>'Figure 3'!$E$5:$E$6</c:f>
              <c:numCache>
                <c:formatCode>0.00%</c:formatCode>
                <c:ptCount val="2"/>
                <c:pt idx="0">
                  <c:v>0.10326097299729353</c:v>
                </c:pt>
                <c:pt idx="1">
                  <c:v>0.10118737410641945</c:v>
                </c:pt>
              </c:numCache>
            </c:numRef>
          </c:val>
        </c:ser>
        <c:dLbls>
          <c:showLegendKey val="0"/>
          <c:showVal val="0"/>
          <c:showCatName val="0"/>
          <c:showSerName val="0"/>
          <c:showPercent val="0"/>
          <c:showBubbleSize val="0"/>
        </c:dLbls>
        <c:gapWidth val="150"/>
        <c:axId val="70995328"/>
        <c:axId val="75580544"/>
      </c:barChart>
      <c:catAx>
        <c:axId val="70995328"/>
        <c:scaling>
          <c:orientation val="minMax"/>
        </c:scaling>
        <c:delete val="0"/>
        <c:axPos val="b"/>
        <c:majorTickMark val="out"/>
        <c:minorTickMark val="none"/>
        <c:tickLblPos val="nextTo"/>
        <c:crossAx val="75580544"/>
        <c:crosses val="autoZero"/>
        <c:auto val="1"/>
        <c:lblAlgn val="ctr"/>
        <c:lblOffset val="100"/>
        <c:noMultiLvlLbl val="0"/>
      </c:catAx>
      <c:valAx>
        <c:axId val="75580544"/>
        <c:scaling>
          <c:orientation val="minMax"/>
        </c:scaling>
        <c:delete val="0"/>
        <c:axPos val="l"/>
        <c:majorGridlines/>
        <c:numFmt formatCode="0.00%" sourceLinked="1"/>
        <c:majorTickMark val="out"/>
        <c:minorTickMark val="none"/>
        <c:tickLblPos val="nextTo"/>
        <c:crossAx val="709953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4'!$D$1:$D$4</c:f>
              <c:strCache>
                <c:ptCount val="1"/>
                <c:pt idx="0">
                  <c:v>SBBI Small Index</c:v>
                </c:pt>
              </c:strCache>
            </c:strRef>
          </c:tx>
          <c:invertIfNegative val="0"/>
          <c:cat>
            <c:strRef>
              <c:f>'Figure 4'!$C$5:$C$6</c:f>
              <c:strCache>
                <c:ptCount val="2"/>
                <c:pt idx="0">
                  <c:v>3rd Year Returns</c:v>
                </c:pt>
                <c:pt idx="1">
                  <c:v>Year 1, 2, 4 Returns</c:v>
                </c:pt>
              </c:strCache>
            </c:strRef>
          </c:cat>
          <c:val>
            <c:numRef>
              <c:f>'Figure 4'!$D$5:$D$6</c:f>
              <c:numCache>
                <c:formatCode>0.00%</c:formatCode>
                <c:ptCount val="2"/>
                <c:pt idx="0">
                  <c:v>0.35931661047148566</c:v>
                </c:pt>
                <c:pt idx="1">
                  <c:v>9.0633353368674743E-2</c:v>
                </c:pt>
              </c:numCache>
            </c:numRef>
          </c:val>
        </c:ser>
        <c:ser>
          <c:idx val="1"/>
          <c:order val="1"/>
          <c:tx>
            <c:strRef>
              <c:f>'Figure 4'!$E$1:$E$4</c:f>
              <c:strCache>
                <c:ptCount val="1"/>
                <c:pt idx="0">
                  <c:v>SBBI Large Index</c:v>
                </c:pt>
              </c:strCache>
            </c:strRef>
          </c:tx>
          <c:invertIfNegative val="0"/>
          <c:cat>
            <c:strRef>
              <c:f>'Figure 4'!$C$5:$C$6</c:f>
              <c:strCache>
                <c:ptCount val="2"/>
                <c:pt idx="0">
                  <c:v>3rd Year Returns</c:v>
                </c:pt>
                <c:pt idx="1">
                  <c:v>Year 1, 2, 4 Returns</c:v>
                </c:pt>
              </c:strCache>
            </c:strRef>
          </c:cat>
          <c:val>
            <c:numRef>
              <c:f>'Figure 4'!$E$5:$E$6</c:f>
              <c:numCache>
                <c:formatCode>0.00%</c:formatCode>
                <c:ptCount val="2"/>
                <c:pt idx="0">
                  <c:v>0.23136900949386671</c:v>
                </c:pt>
                <c:pt idx="1">
                  <c:v>6.1560525854053923E-2</c:v>
                </c:pt>
              </c:numCache>
            </c:numRef>
          </c:val>
        </c:ser>
        <c:dLbls>
          <c:showLegendKey val="0"/>
          <c:showVal val="0"/>
          <c:showCatName val="0"/>
          <c:showSerName val="0"/>
          <c:showPercent val="0"/>
          <c:showBubbleSize val="0"/>
        </c:dLbls>
        <c:gapWidth val="150"/>
        <c:axId val="77706752"/>
        <c:axId val="77708288"/>
      </c:barChart>
      <c:catAx>
        <c:axId val="77706752"/>
        <c:scaling>
          <c:orientation val="minMax"/>
        </c:scaling>
        <c:delete val="0"/>
        <c:axPos val="b"/>
        <c:majorTickMark val="out"/>
        <c:minorTickMark val="none"/>
        <c:tickLblPos val="nextTo"/>
        <c:crossAx val="77708288"/>
        <c:crosses val="autoZero"/>
        <c:auto val="1"/>
        <c:lblAlgn val="ctr"/>
        <c:lblOffset val="100"/>
        <c:noMultiLvlLbl val="0"/>
      </c:catAx>
      <c:valAx>
        <c:axId val="77708288"/>
        <c:scaling>
          <c:orientation val="minMax"/>
        </c:scaling>
        <c:delete val="0"/>
        <c:axPos val="l"/>
        <c:majorGridlines/>
        <c:numFmt formatCode="0.00%" sourceLinked="1"/>
        <c:majorTickMark val="out"/>
        <c:minorTickMark val="none"/>
        <c:tickLblPos val="nextTo"/>
        <c:crossAx val="777067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2'!$D$1:$D$4</c:f>
              <c:strCache>
                <c:ptCount val="1"/>
                <c:pt idx="0">
                  <c:v>SBBI Small Index</c:v>
                </c:pt>
              </c:strCache>
            </c:strRef>
          </c:tx>
          <c:invertIfNegative val="0"/>
          <c:cat>
            <c:strRef>
              <c:f>'Figure 2'!$C$5:$C$7</c:f>
              <c:strCache>
                <c:ptCount val="3"/>
                <c:pt idx="0">
                  <c:v>Expansive</c:v>
                </c:pt>
                <c:pt idx="1">
                  <c:v>Indeterminant</c:v>
                </c:pt>
                <c:pt idx="2">
                  <c:v>Restrictive</c:v>
                </c:pt>
              </c:strCache>
            </c:strRef>
          </c:cat>
          <c:val>
            <c:numRef>
              <c:f>'Figure 2'!$D$5:$D$7</c:f>
              <c:numCache>
                <c:formatCode>0.00%</c:formatCode>
                <c:ptCount val="3"/>
                <c:pt idx="0">
                  <c:v>0.32936422838085944</c:v>
                </c:pt>
                <c:pt idx="1">
                  <c:v>0.10012201120420752</c:v>
                </c:pt>
                <c:pt idx="2">
                  <c:v>4.9157634622872488E-2</c:v>
                </c:pt>
              </c:numCache>
            </c:numRef>
          </c:val>
        </c:ser>
        <c:ser>
          <c:idx val="1"/>
          <c:order val="1"/>
          <c:tx>
            <c:strRef>
              <c:f>'Figure 2'!$E$1:$E$4</c:f>
              <c:strCache>
                <c:ptCount val="1"/>
                <c:pt idx="0">
                  <c:v>SBBI Large Index</c:v>
                </c:pt>
              </c:strCache>
            </c:strRef>
          </c:tx>
          <c:invertIfNegative val="0"/>
          <c:cat>
            <c:strRef>
              <c:f>'Figure 2'!$C$5:$C$7</c:f>
              <c:strCache>
                <c:ptCount val="3"/>
                <c:pt idx="0">
                  <c:v>Expansive</c:v>
                </c:pt>
                <c:pt idx="1">
                  <c:v>Indeterminant</c:v>
                </c:pt>
                <c:pt idx="2">
                  <c:v>Restrictive</c:v>
                </c:pt>
              </c:strCache>
            </c:strRef>
          </c:cat>
          <c:val>
            <c:numRef>
              <c:f>'Figure 2'!$E$5:$E$7</c:f>
              <c:numCache>
                <c:formatCode>0.00%</c:formatCode>
                <c:ptCount val="3"/>
                <c:pt idx="0">
                  <c:v>0.16615021414596254</c:v>
                </c:pt>
                <c:pt idx="1">
                  <c:v>9.1441586955947909E-2</c:v>
                </c:pt>
                <c:pt idx="2">
                  <c:v>7.309154476140578E-2</c:v>
                </c:pt>
              </c:numCache>
            </c:numRef>
          </c:val>
        </c:ser>
        <c:dLbls>
          <c:showLegendKey val="0"/>
          <c:showVal val="0"/>
          <c:showCatName val="0"/>
          <c:showSerName val="0"/>
          <c:showPercent val="0"/>
          <c:showBubbleSize val="0"/>
        </c:dLbls>
        <c:gapWidth val="150"/>
        <c:axId val="77696384"/>
        <c:axId val="79271040"/>
      </c:barChart>
      <c:catAx>
        <c:axId val="77696384"/>
        <c:scaling>
          <c:orientation val="minMax"/>
        </c:scaling>
        <c:delete val="0"/>
        <c:axPos val="b"/>
        <c:majorTickMark val="out"/>
        <c:minorTickMark val="none"/>
        <c:tickLblPos val="nextTo"/>
        <c:crossAx val="79271040"/>
        <c:crosses val="autoZero"/>
        <c:auto val="1"/>
        <c:lblAlgn val="ctr"/>
        <c:lblOffset val="100"/>
        <c:noMultiLvlLbl val="0"/>
      </c:catAx>
      <c:valAx>
        <c:axId val="79271040"/>
        <c:scaling>
          <c:orientation val="minMax"/>
        </c:scaling>
        <c:delete val="0"/>
        <c:axPos val="l"/>
        <c:majorGridlines/>
        <c:numFmt formatCode="0.00%" sourceLinked="1"/>
        <c:majorTickMark val="out"/>
        <c:minorTickMark val="none"/>
        <c:tickLblPos val="nextTo"/>
        <c:crossAx val="77696384"/>
        <c:crosses val="autoZero"/>
        <c:crossBetween val="between"/>
      </c:valAx>
    </c:plotArea>
    <c:legend>
      <c:legendPos val="r"/>
      <c:layout>
        <c:manualLayout>
          <c:xMode val="edge"/>
          <c:yMode val="edge"/>
          <c:x val="0.75909698203612463"/>
          <c:y val="0.33710641705325073"/>
          <c:w val="0.21598089958381397"/>
          <c:h val="0.1754225389037341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01C4F-EE0B-445C-AF20-F4BD70BA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6479</Words>
  <Characters>36933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Bond Returns under Political Gridlock</vt:lpstr>
    </vt:vector>
  </TitlesOfParts>
  <Company>Northern Illinois Univeristy</Company>
  <LinksUpToDate>false</LinksUpToDate>
  <CharactersWithSpaces>43326</CharactersWithSpaces>
  <SharedDoc>false</SharedDoc>
  <HLinks>
    <vt:vector size="18" baseType="variant">
      <vt:variant>
        <vt:i4>852079</vt:i4>
      </vt:variant>
      <vt:variant>
        <vt:i4>6</vt:i4>
      </vt:variant>
      <vt:variant>
        <vt:i4>0</vt:i4>
      </vt:variant>
      <vt:variant>
        <vt:i4>5</vt:i4>
      </vt:variant>
      <vt:variant>
        <vt:lpwstr>mailto:robert.johnson@cfainstitute.org</vt:lpwstr>
      </vt:variant>
      <vt:variant>
        <vt:lpwstr/>
      </vt:variant>
      <vt:variant>
        <vt:i4>7733320</vt:i4>
      </vt:variant>
      <vt:variant>
        <vt:i4>3</vt:i4>
      </vt:variant>
      <vt:variant>
        <vt:i4>0</vt:i4>
      </vt:variant>
      <vt:variant>
        <vt:i4>5</vt:i4>
      </vt:variant>
      <vt:variant>
        <vt:lpwstr>mailto:gjensen@niu.edu</vt:lpwstr>
      </vt:variant>
      <vt:variant>
        <vt:lpwstr/>
      </vt:variant>
      <vt:variant>
        <vt:i4>7471197</vt:i4>
      </vt:variant>
      <vt:variant>
        <vt:i4>0</vt:i4>
      </vt:variant>
      <vt:variant>
        <vt:i4>0</vt:i4>
      </vt:variant>
      <vt:variant>
        <vt:i4>5</vt:i4>
      </vt:variant>
      <vt:variant>
        <vt:lpwstr>mailto:sbeyer@niu.edu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Bond Returns under Political Gridlock</dc:title>
  <dc:creator>Scott Beyer</dc:creator>
  <cp:lastModifiedBy>Owner</cp:lastModifiedBy>
  <cp:revision>2</cp:revision>
  <cp:lastPrinted>2012-10-01T09:17:00Z</cp:lastPrinted>
  <dcterms:created xsi:type="dcterms:W3CDTF">2012-10-12T18:09:00Z</dcterms:created>
  <dcterms:modified xsi:type="dcterms:W3CDTF">2012-10-12T18:09:00Z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