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48" w:rsidRDefault="001B4448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1B4448" w:rsidRDefault="00020478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46103" cy="642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103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448" w:rsidRDefault="001B4448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1B4448" w:rsidRPr="00C96187" w:rsidRDefault="00020478">
      <w:pPr>
        <w:pStyle w:val="BodyText"/>
        <w:spacing w:before="60"/>
        <w:ind w:left="120"/>
        <w:rPr>
          <w:rFonts w:ascii="Tahoma" w:eastAsia="Tahoma" w:hAnsi="Tahoma" w:cs="Tahoma"/>
          <w:sz w:val="20"/>
          <w:szCs w:val="20"/>
        </w:rPr>
      </w:pPr>
      <w:r w:rsidRPr="00C96187">
        <w:rPr>
          <w:rFonts w:ascii="Tahoma"/>
          <w:color w:val="636466"/>
          <w:spacing w:val="-1"/>
          <w:w w:val="95"/>
          <w:sz w:val="20"/>
          <w:szCs w:val="20"/>
        </w:rPr>
        <w:t>Accounting</w:t>
      </w:r>
      <w:r w:rsidRPr="00C96187">
        <w:rPr>
          <w:rFonts w:ascii="Tahoma"/>
          <w:color w:val="636466"/>
          <w:spacing w:val="9"/>
          <w:w w:val="95"/>
          <w:sz w:val="20"/>
          <w:szCs w:val="20"/>
        </w:rPr>
        <w:t xml:space="preserve"> </w:t>
      </w:r>
      <w:r w:rsidRPr="00C96187">
        <w:rPr>
          <w:rFonts w:ascii="Tahoma"/>
          <w:color w:val="636466"/>
          <w:w w:val="95"/>
          <w:sz w:val="20"/>
          <w:szCs w:val="20"/>
        </w:rPr>
        <w:t>Services</w:t>
      </w:r>
      <w:r w:rsidR="00C96187" w:rsidRPr="00C96187">
        <w:rPr>
          <w:rFonts w:ascii="Tahoma"/>
          <w:color w:val="636466"/>
          <w:w w:val="95"/>
          <w:sz w:val="20"/>
          <w:szCs w:val="20"/>
        </w:rPr>
        <w:t>/ Business Service Center</w:t>
      </w:r>
      <w:r w:rsidR="00772B25">
        <w:rPr>
          <w:rFonts w:ascii="Tahoma"/>
          <w:color w:val="636466"/>
          <w:w w:val="95"/>
          <w:sz w:val="20"/>
          <w:szCs w:val="20"/>
        </w:rPr>
        <w:t>/Strategic Sourcing</w:t>
      </w: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CF29C2" w:rsidRDefault="00CF29C2" w:rsidP="00CF29C2">
      <w:r>
        <w:t xml:space="preserve">As most of you already know, the procurement standards portion of the Uniform Guidance is </w:t>
      </w:r>
      <w:r w:rsidR="00C96187">
        <w:t xml:space="preserve">becoming </w:t>
      </w:r>
      <w:r>
        <w:t>eff</w:t>
      </w:r>
      <w:r w:rsidR="00022B75">
        <w:t xml:space="preserve">ective </w:t>
      </w:r>
      <w:r>
        <w:t xml:space="preserve">on </w:t>
      </w:r>
      <w:r w:rsidR="00C96187">
        <w:t xml:space="preserve">purchases with </w:t>
      </w:r>
      <w:r>
        <w:t xml:space="preserve">federal grants beginning 7-1-18.  We have updated a few procedures related to the new guidance.  </w:t>
      </w:r>
    </w:p>
    <w:p w:rsidR="00CF29C2" w:rsidRDefault="00CF29C2" w:rsidP="00CF29C2"/>
    <w:p w:rsidR="00CF29C2" w:rsidRDefault="00CF29C2" w:rsidP="00CF29C2">
      <w:r>
        <w:t>Under the new guidance 2 CFR 200.318, we now have five purchasing thresholds.  They are the following with the respective aggregate dollar amount</w:t>
      </w:r>
      <w:r w:rsidR="001477A2">
        <w:t>s</w:t>
      </w:r>
      <w:r>
        <w:t>:</w:t>
      </w:r>
    </w:p>
    <w:p w:rsidR="00CF29C2" w:rsidRDefault="00CF29C2" w:rsidP="00CF29C2"/>
    <w:p w:rsidR="00CF29C2" w:rsidRDefault="00CF29C2" w:rsidP="00CF29C2">
      <w:r>
        <w:t>Micro-purchase -   $1 - $</w:t>
      </w:r>
      <w:r w:rsidR="00C96187">
        <w:t>9,999</w:t>
      </w:r>
      <w:r>
        <w:t xml:space="preserve"> </w:t>
      </w:r>
    </w:p>
    <w:p w:rsidR="00CF29C2" w:rsidRDefault="00CF29C2" w:rsidP="00CF29C2"/>
    <w:p w:rsidR="00CF29C2" w:rsidRDefault="00CF29C2" w:rsidP="00CF29C2">
      <w:r>
        <w:t>Small Purchase - $10,000 - $150,000</w:t>
      </w:r>
    </w:p>
    <w:p w:rsidR="00CF29C2" w:rsidRDefault="00CF29C2" w:rsidP="00CF29C2"/>
    <w:p w:rsidR="00CF29C2" w:rsidRDefault="00CF29C2" w:rsidP="00CF29C2">
      <w:r>
        <w:t>Sealed Bid - Over $150,000 – Construction Projects</w:t>
      </w:r>
    </w:p>
    <w:p w:rsidR="00CF29C2" w:rsidRDefault="00CF29C2" w:rsidP="00CF29C2"/>
    <w:p w:rsidR="00CF29C2" w:rsidRDefault="00CF29C2" w:rsidP="00CF29C2">
      <w:r>
        <w:t xml:space="preserve">Competitive Proposal – Over $150,000 </w:t>
      </w:r>
    </w:p>
    <w:p w:rsidR="00CF29C2" w:rsidRDefault="00CF29C2" w:rsidP="00CF29C2"/>
    <w:p w:rsidR="00CF29C2" w:rsidRDefault="00CF29C2" w:rsidP="00CF29C2">
      <w:r>
        <w:t>Sole Source – Unique or for Public Emergency – No competition</w:t>
      </w:r>
    </w:p>
    <w:p w:rsidR="00CF29C2" w:rsidRDefault="00CF29C2" w:rsidP="00CF29C2"/>
    <w:p w:rsidR="00DF64B4" w:rsidRDefault="00DF64B4" w:rsidP="00CF29C2">
      <w:r>
        <w:t>We have interpreted “aggregate dollar amounts” to mean a PO</w:t>
      </w:r>
      <w:r w:rsidR="00662623">
        <w:t xml:space="preserve"> or invoice</w:t>
      </w:r>
      <w:r>
        <w:t xml:space="preserve"> total.  </w:t>
      </w:r>
    </w:p>
    <w:p w:rsidR="00DF64B4" w:rsidRDefault="00DF64B4" w:rsidP="00CF29C2"/>
    <w:p w:rsidR="00CF29C2" w:rsidRDefault="00CF29C2" w:rsidP="00CF29C2">
      <w:r>
        <w:t>Most of the purchases that are made by federal funds should fall within the micro-purchase and small purchase categories.  Beginning on 7-1-18, if a purchase</w:t>
      </w:r>
      <w:r w:rsidR="00D00CDE">
        <w:t xml:space="preserve"> (either supply or service</w:t>
      </w:r>
      <w:r w:rsidR="009E10EE">
        <w:t xml:space="preserve"> but not subcontract)</w:t>
      </w:r>
      <w:r>
        <w:t xml:space="preserve"> needs to be made and the PO </w:t>
      </w:r>
      <w:r w:rsidR="00C96187">
        <w:t xml:space="preserve">total </w:t>
      </w:r>
      <w:r>
        <w:t xml:space="preserve">or invoice </w:t>
      </w:r>
      <w:r w:rsidR="00C96187">
        <w:t xml:space="preserve">total </w:t>
      </w:r>
      <w:r>
        <w:t xml:space="preserve">is greater than $10,000, the micro-purchase threshold, the department must get two quotes before ordering the product(s).  These quotes must be attached to the requisition.    </w:t>
      </w:r>
      <w:r w:rsidR="00C96187">
        <w:t xml:space="preserve">Please save the two quotes as two separate documents in CUBuyPlus.  </w:t>
      </w:r>
      <w:r w:rsidR="009E10EE">
        <w:t xml:space="preserve">If you are close to the total without shipping and you suspect it might go over the $10,000 when shipping is included, get a second quote.  It will be easier to do on the front end vs. after the order is made.  </w:t>
      </w:r>
    </w:p>
    <w:p w:rsidR="00C96187" w:rsidRDefault="00C96187" w:rsidP="00CF29C2"/>
    <w:p w:rsidR="00020478" w:rsidRDefault="00C96187" w:rsidP="00CF29C2">
      <w:r>
        <w:t>The following are the instructions for attaching the quotes:</w:t>
      </w:r>
      <w:r w:rsidR="008C276B">
        <w:t xml:space="preserve"> </w:t>
      </w:r>
    </w:p>
    <w:p w:rsidR="00020478" w:rsidRDefault="00020478" w:rsidP="00CF29C2">
      <w:r>
        <w:tab/>
        <w:t>Save quote to desktop</w:t>
      </w:r>
    </w:p>
    <w:p w:rsidR="00C96187" w:rsidRDefault="00020478" w:rsidP="00CF29C2">
      <w:r>
        <w:tab/>
        <w:t>Screen before requisition is reassigned to your BSC Specialist – go to “Order Attachment Section”</w:t>
      </w:r>
      <w:r w:rsidR="008C276B">
        <w:t xml:space="preserve"> </w:t>
      </w:r>
    </w:p>
    <w:p w:rsidR="00C96187" w:rsidRDefault="00020478" w:rsidP="00CF29C2">
      <w:r>
        <w:tab/>
        <w:t>Browse for quote on desktop</w:t>
      </w:r>
    </w:p>
    <w:p w:rsidR="00020478" w:rsidRDefault="00020478" w:rsidP="00CF29C2">
      <w:r>
        <w:tab/>
        <w:t xml:space="preserve">Attach quote in </w:t>
      </w:r>
      <w:r w:rsidRPr="00020478">
        <w:rPr>
          <w:b/>
        </w:rPr>
        <w:t>“Order Attachment Section”</w:t>
      </w:r>
    </w:p>
    <w:p w:rsidR="00C96187" w:rsidRDefault="00020478" w:rsidP="009E10EE">
      <w:pPr>
        <w:ind w:left="720" w:firstLine="720"/>
      </w:pPr>
      <w:r>
        <w:t xml:space="preserve">Please note:  Comments in the “Delivery Notes” or documents in the “Order Attachments Section” are for external use and </w:t>
      </w:r>
      <w:r w:rsidRPr="00020478">
        <w:rPr>
          <w:u w:val="single"/>
        </w:rPr>
        <w:t>are</w:t>
      </w:r>
      <w:r>
        <w:t xml:space="preserve"> sent to the vendor.</w:t>
      </w:r>
    </w:p>
    <w:p w:rsidR="00020478" w:rsidRDefault="00020478" w:rsidP="009E10EE">
      <w:pPr>
        <w:ind w:left="720" w:firstLine="1215"/>
      </w:pPr>
      <w:r>
        <w:t xml:space="preserve">Comments in the “Justification Section” or documents included in the “Justification Attachments” are for internal use, and </w:t>
      </w:r>
      <w:r w:rsidRPr="00020478">
        <w:rPr>
          <w:u w:val="single"/>
        </w:rPr>
        <w:t>are not</w:t>
      </w:r>
      <w:r>
        <w:t xml:space="preserve"> sent to the vendor.</w:t>
      </w:r>
      <w:r w:rsidR="009E10EE">
        <w:t xml:space="preserve"> This is where the second quote should go.  </w:t>
      </w:r>
    </w:p>
    <w:p w:rsidR="00020478" w:rsidRDefault="00020478" w:rsidP="00CF29C2"/>
    <w:p w:rsidR="00CF29C2" w:rsidRDefault="00C96187" w:rsidP="00CF29C2">
      <w:r>
        <w:t xml:space="preserve">If there is only one sole provider or you choose not to use the lowest quote, you will need to fill out and attach the “Sole Source </w:t>
      </w:r>
      <w:r w:rsidR="00D00CDE">
        <w:t>Justification</w:t>
      </w:r>
      <w:r>
        <w:t xml:space="preserve">” form.  </w:t>
      </w:r>
      <w:r w:rsidR="00D00CDE">
        <w:t xml:space="preserve">I have attached the form to this e-mail.  You can find it on the Strategic Sourcing website.  </w:t>
      </w:r>
    </w:p>
    <w:p w:rsidR="00C96187" w:rsidRDefault="00C96187" w:rsidP="00CF29C2"/>
    <w:p w:rsidR="00C96187" w:rsidRDefault="00C96187" w:rsidP="00CF29C2">
      <w:r>
        <w:t xml:space="preserve">There will be a new approval queue added to federal grant purchases $10,000 and over, so please allow extra time for your requisition to get through this queue.  </w:t>
      </w:r>
    </w:p>
    <w:p w:rsidR="00D00CDE" w:rsidRDefault="00D00CDE" w:rsidP="00CF29C2"/>
    <w:p w:rsidR="00772B25" w:rsidRDefault="00772B25" w:rsidP="00CF29C2"/>
    <w:p w:rsidR="00662623" w:rsidRDefault="00772B25" w:rsidP="00CF29C2">
      <w:r>
        <w:t>If you have a purchase over $150,000</w:t>
      </w:r>
      <w:r w:rsidR="00662623">
        <w:t xml:space="preserve"> </w:t>
      </w:r>
      <w:r w:rsidR="00D00CDE">
        <w:t xml:space="preserve">please contact the </w:t>
      </w:r>
      <w:r w:rsidR="00662623">
        <w:t xml:space="preserve">strategic sourcing </w:t>
      </w:r>
      <w:r w:rsidR="00D00CDE">
        <w:t>department directly, and they will</w:t>
      </w:r>
      <w:r w:rsidR="00662623">
        <w:t xml:space="preserve"> help you with this type of purchase.  </w:t>
      </w:r>
      <w:r w:rsidR="00D00CDE">
        <w:t xml:space="preserve">There are guidelines for these purchases, but we will not detail that out here, since it would be a very rare circumstance.  </w:t>
      </w:r>
    </w:p>
    <w:p w:rsidR="00772B25" w:rsidRDefault="00772B25" w:rsidP="00CF29C2"/>
    <w:p w:rsidR="00772B25" w:rsidRDefault="00772B25" w:rsidP="00CF29C2">
      <w:r>
        <w:t xml:space="preserve">Just a reminder that all international travel must comply with the Uniform Guidance rules.  Travelers should be using Travel &amp; Transport so we can be assured all standards are met.  If someone goes outside of Travel &amp; Transport, the processing time will be much longer as someone from accounting services will need to do the work manually to ensure compliance.  </w:t>
      </w:r>
    </w:p>
    <w:p w:rsidR="00DF64B4" w:rsidRDefault="00DF64B4" w:rsidP="00CF29C2"/>
    <w:p w:rsidR="00DF64B4" w:rsidRDefault="00DF64B4" w:rsidP="00CF29C2"/>
    <w:p w:rsidR="00772B25" w:rsidRDefault="00C96187" w:rsidP="00CF29C2">
      <w:r>
        <w:t>This is the link to the actual procurement standards</w:t>
      </w:r>
      <w:r w:rsidR="00662623">
        <w:t xml:space="preserve"> in the Uniform Guidance</w:t>
      </w:r>
      <w:r w:rsidR="00772B25">
        <w:t>:</w:t>
      </w:r>
    </w:p>
    <w:p w:rsidR="00CF29C2" w:rsidRDefault="00C96187" w:rsidP="00CF29C2">
      <w:r>
        <w:t xml:space="preserve"> </w:t>
      </w:r>
    </w:p>
    <w:p w:rsidR="00CF29C2" w:rsidRDefault="00772B25" w:rsidP="00CF29C2">
      <w:r w:rsidRPr="00772B25">
        <w:t>https://www.ecfr.gov/cgi-bin/text-idx?SID=7431f034154c855de65efab9f5f318c0&amp;mc=true&amp;node=sg2.1.200_1316.sg3&amp;rgn=div7</w:t>
      </w: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Pr="00D00CDE" w:rsidRDefault="00DF64B4">
      <w:r w:rsidRPr="00D00CDE">
        <w:t xml:space="preserve">Thank you for your assistance on implementing the new standards.  Please call any of us with questions.  </w:t>
      </w:r>
    </w:p>
    <w:p w:rsidR="00DF64B4" w:rsidRPr="00D00CDE" w:rsidRDefault="00DF64B4"/>
    <w:p w:rsidR="00DF64B4" w:rsidRDefault="00DF64B4">
      <w:pPr>
        <w:rPr>
          <w:rFonts w:ascii="Tahoma" w:eastAsia="Tahoma" w:hAnsi="Tahoma" w:cs="Tahoma"/>
          <w:sz w:val="20"/>
          <w:szCs w:val="20"/>
        </w:rPr>
      </w:pPr>
    </w:p>
    <w:p w:rsidR="00DF64B4" w:rsidRPr="00D00CDE" w:rsidRDefault="00DF64B4">
      <w:r w:rsidRPr="00D00CDE">
        <w:t>Michon Bowen</w:t>
      </w:r>
    </w:p>
    <w:p w:rsidR="00DF64B4" w:rsidRPr="00D00CDE" w:rsidRDefault="00DF64B4">
      <w:r w:rsidRPr="00D00CDE">
        <w:t>Jeff Klein</w:t>
      </w:r>
    </w:p>
    <w:p w:rsidR="00DF64B4" w:rsidRPr="00D00CDE" w:rsidRDefault="00DF64B4">
      <w:r w:rsidRPr="00D00CDE">
        <w:t>Eric Gilmore</w:t>
      </w:r>
    </w:p>
    <w:p w:rsidR="00DF64B4" w:rsidRPr="00D00CDE" w:rsidRDefault="00DF64B4">
      <w:r w:rsidRPr="00D00CDE">
        <w:t>Crystal Petersen</w:t>
      </w:r>
    </w:p>
    <w:p w:rsidR="00DF64B4" w:rsidRPr="00D00CDE" w:rsidRDefault="004056E7">
      <w:r>
        <w:t>Paul Tomose</w:t>
      </w:r>
      <w:r w:rsidR="00DF64B4" w:rsidRPr="00D00CDE">
        <w:t>r</w:t>
      </w: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rPr>
          <w:rFonts w:ascii="Tahoma" w:eastAsia="Tahoma" w:hAnsi="Tahoma" w:cs="Tahoma"/>
          <w:sz w:val="20"/>
          <w:szCs w:val="20"/>
        </w:rPr>
      </w:pPr>
    </w:p>
    <w:p w:rsidR="001B4448" w:rsidRDefault="001B4448">
      <w:pPr>
        <w:spacing w:before="4"/>
        <w:rPr>
          <w:rFonts w:ascii="Tahoma" w:eastAsia="Tahoma" w:hAnsi="Tahoma" w:cs="Tahoma"/>
          <w:sz w:val="16"/>
          <w:szCs w:val="16"/>
        </w:rPr>
      </w:pPr>
    </w:p>
    <w:p w:rsidR="001B4448" w:rsidRDefault="001B4448">
      <w:pPr>
        <w:rPr>
          <w:rFonts w:ascii="Tahoma" w:eastAsia="Tahoma" w:hAnsi="Tahoma" w:cs="Tahoma"/>
          <w:sz w:val="16"/>
          <w:szCs w:val="16"/>
        </w:rPr>
        <w:sectPr w:rsidR="001B4448">
          <w:type w:val="continuous"/>
          <w:pgSz w:w="12240" w:h="15840"/>
          <w:pgMar w:top="640" w:right="1720" w:bottom="280" w:left="780" w:header="720" w:footer="720" w:gutter="0"/>
          <w:cols w:space="720"/>
        </w:sectPr>
      </w:pPr>
    </w:p>
    <w:p w:rsidR="001B4448" w:rsidRDefault="00020478">
      <w:pPr>
        <w:pStyle w:val="BodyText"/>
        <w:spacing w:before="103" w:line="250" w:lineRule="auto"/>
      </w:pPr>
      <w:r>
        <w:rPr>
          <w:color w:val="636466"/>
          <w:spacing w:val="-7"/>
        </w:rPr>
        <w:t>Fr</w:t>
      </w:r>
      <w:r>
        <w:rPr>
          <w:color w:val="636466"/>
          <w:spacing w:val="-8"/>
        </w:rPr>
        <w:t>.</w:t>
      </w:r>
      <w:r>
        <w:rPr>
          <w:color w:val="636466"/>
          <w:spacing w:val="-9"/>
        </w:rPr>
        <w:t xml:space="preserve"> </w:t>
      </w:r>
      <w:r>
        <w:rPr>
          <w:color w:val="636466"/>
        </w:rPr>
        <w:t>Henry</w:t>
      </w:r>
      <w:r>
        <w:rPr>
          <w:color w:val="636466"/>
          <w:spacing w:val="-8"/>
        </w:rPr>
        <w:t xml:space="preserve"> </w:t>
      </w:r>
      <w:r>
        <w:rPr>
          <w:color w:val="636466"/>
        </w:rPr>
        <w:t>Linn,</w:t>
      </w:r>
      <w:r>
        <w:rPr>
          <w:color w:val="636466"/>
          <w:spacing w:val="-8"/>
        </w:rPr>
        <w:t xml:space="preserve"> </w:t>
      </w:r>
      <w:r>
        <w:rPr>
          <w:color w:val="636466"/>
        </w:rPr>
        <w:t>SJ,</w:t>
      </w:r>
      <w:r>
        <w:rPr>
          <w:color w:val="636466"/>
          <w:spacing w:val="-8"/>
        </w:rPr>
        <w:t xml:space="preserve"> </w:t>
      </w:r>
      <w:r>
        <w:rPr>
          <w:color w:val="636466"/>
        </w:rPr>
        <w:t>Building</w:t>
      </w:r>
      <w:r>
        <w:rPr>
          <w:color w:val="636466"/>
          <w:w w:val="105"/>
        </w:rPr>
        <w:t xml:space="preserve"> </w:t>
      </w:r>
      <w:r>
        <w:rPr>
          <w:color w:val="636466"/>
          <w:spacing w:val="2"/>
          <w:w w:val="105"/>
        </w:rPr>
        <w:t xml:space="preserve">                     </w:t>
      </w:r>
      <w:r>
        <w:rPr>
          <w:color w:val="636466"/>
          <w:spacing w:val="-1"/>
        </w:rPr>
        <w:t>7803</w:t>
      </w:r>
      <w:r>
        <w:rPr>
          <w:color w:val="636466"/>
          <w:spacing w:val="-2"/>
        </w:rPr>
        <w:t>15</w:t>
      </w:r>
      <w:r>
        <w:rPr>
          <w:color w:val="636466"/>
          <w:spacing w:val="-18"/>
        </w:rPr>
        <w:t xml:space="preserve"> </w:t>
      </w:r>
      <w:r>
        <w:rPr>
          <w:color w:val="636466"/>
          <w:spacing w:val="-1"/>
        </w:rPr>
        <w:t>California</w:t>
      </w:r>
      <w:r>
        <w:rPr>
          <w:color w:val="636466"/>
          <w:spacing w:val="-17"/>
        </w:rPr>
        <w:t xml:space="preserve"> </w:t>
      </w:r>
      <w:r>
        <w:rPr>
          <w:color w:val="636466"/>
        </w:rPr>
        <w:t>Plaza</w:t>
      </w:r>
      <w:r>
        <w:rPr>
          <w:color w:val="636466"/>
          <w:spacing w:val="10"/>
        </w:rPr>
        <w:t xml:space="preserve"> </w:t>
      </w:r>
      <w:r>
        <w:rPr>
          <w:color w:val="636466"/>
        </w:rPr>
        <w:t>Omaha,</w:t>
      </w:r>
      <w:r>
        <w:rPr>
          <w:color w:val="636466"/>
          <w:spacing w:val="-17"/>
        </w:rPr>
        <w:t xml:space="preserve"> </w:t>
      </w:r>
      <w:r>
        <w:rPr>
          <w:color w:val="636466"/>
        </w:rPr>
        <w:t>NE</w:t>
      </w:r>
      <w:r>
        <w:rPr>
          <w:color w:val="636466"/>
          <w:spacing w:val="-18"/>
        </w:rPr>
        <w:t xml:space="preserve"> </w:t>
      </w:r>
      <w:r>
        <w:rPr>
          <w:color w:val="636466"/>
        </w:rPr>
        <w:t>68178-0315</w:t>
      </w:r>
    </w:p>
    <w:p w:rsidR="001B4448" w:rsidRDefault="00020478">
      <w:pPr>
        <w:spacing w:before="78" w:line="106" w:lineRule="exact"/>
        <w:ind w:left="112"/>
        <w:rPr>
          <w:rFonts w:ascii="Lucida Sans" w:eastAsia="Lucida Sans" w:hAnsi="Lucida Sans" w:cs="Lucida Sans"/>
          <w:sz w:val="10"/>
          <w:szCs w:val="10"/>
        </w:rPr>
      </w:pPr>
      <w:r>
        <w:rPr>
          <w:w w:val="110"/>
        </w:rPr>
        <w:br w:type="column"/>
      </w:r>
      <w:r>
        <w:rPr>
          <w:rFonts w:ascii="Lucida Sans"/>
          <w:color w:val="636466"/>
          <w:w w:val="110"/>
          <w:sz w:val="10"/>
        </w:rPr>
        <w:t>|</w:t>
      </w:r>
    </w:p>
    <w:p w:rsidR="001B4448" w:rsidRDefault="00020478">
      <w:pPr>
        <w:spacing w:line="95" w:lineRule="exact"/>
        <w:ind w:left="112"/>
        <w:rPr>
          <w:rFonts w:ascii="Lucida Sans" w:eastAsia="Lucida Sans" w:hAnsi="Lucida Sans" w:cs="Lucida Sans"/>
          <w:sz w:val="10"/>
          <w:szCs w:val="10"/>
        </w:rPr>
      </w:pPr>
      <w:r>
        <w:rPr>
          <w:rFonts w:ascii="Lucida Sans"/>
          <w:color w:val="636466"/>
          <w:w w:val="110"/>
          <w:sz w:val="10"/>
        </w:rPr>
        <w:t>|</w:t>
      </w:r>
    </w:p>
    <w:p w:rsidR="001B4448" w:rsidRDefault="00CF29C2">
      <w:pPr>
        <w:pStyle w:val="BodyText"/>
        <w:tabs>
          <w:tab w:val="left" w:pos="538"/>
        </w:tabs>
        <w:spacing w:line="199" w:lineRule="exact"/>
        <w:rPr>
          <w:rFonts w:ascii="Lucida Sans" w:eastAsia="Lucida Sans" w:hAnsi="Lucida Sans" w:cs="Lucida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3023235</wp:posOffset>
                </wp:positionH>
                <wp:positionV relativeFrom="paragraph">
                  <wp:posOffset>66675</wp:posOffset>
                </wp:positionV>
                <wp:extent cx="19050" cy="63500"/>
                <wp:effectExtent l="381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448" w:rsidRDefault="00020478">
                            <w:pPr>
                              <w:spacing w:line="96" w:lineRule="exact"/>
                              <w:rPr>
                                <w:rFonts w:ascii="Lucida Sans" w:eastAsia="Lucida Sans" w:hAnsi="Lucida Sans" w:cs="Lucida Sans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Lucida Sans"/>
                                <w:color w:val="636466"/>
                                <w:w w:val="110"/>
                                <w:sz w:val="10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05pt;margin-top:5.25pt;width:1.5pt;height: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PprAIAAKY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" filled="f" stroked="f">
                <v:textbox inset="0,0,0,0">
                  <w:txbxContent>
                    <w:p w:rsidR="001B4448" w:rsidRDefault="00020478">
                      <w:pPr>
                        <w:spacing w:line="96" w:lineRule="exact"/>
                        <w:rPr>
                          <w:rFonts w:ascii="Lucida Sans" w:eastAsia="Lucida Sans" w:hAnsi="Lucida Sans" w:cs="Lucida Sans"/>
                          <w:sz w:val="10"/>
                          <w:szCs w:val="10"/>
                        </w:rPr>
                      </w:pPr>
                      <w:r>
                        <w:rPr>
                          <w:rFonts w:ascii="Lucida Sans"/>
                          <w:color w:val="636466"/>
                          <w:w w:val="110"/>
                          <w:sz w:val="10"/>
                        </w:rPr>
                        <w:t>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478">
        <w:rPr>
          <w:rFonts w:ascii="Lucida Sans"/>
          <w:color w:val="636466"/>
          <w:position w:val="8"/>
          <w:sz w:val="10"/>
        </w:rPr>
        <w:t>|</w:t>
      </w:r>
      <w:r w:rsidR="00020478">
        <w:rPr>
          <w:rFonts w:ascii="Lucida Sans"/>
          <w:color w:val="636466"/>
          <w:position w:val="8"/>
          <w:sz w:val="10"/>
        </w:rPr>
        <w:tab/>
      </w:r>
      <w:r w:rsidR="00020478">
        <w:rPr>
          <w:rFonts w:ascii="Lucida Sans"/>
          <w:color w:val="0054A6"/>
          <w:spacing w:val="-2"/>
        </w:rPr>
        <w:t>creighton.edu</w:t>
      </w:r>
    </w:p>
    <w:sectPr w:rsidR="001B4448">
      <w:type w:val="continuous"/>
      <w:pgSz w:w="12240" w:h="15840"/>
      <w:pgMar w:top="640" w:right="1720" w:bottom="280" w:left="780" w:header="720" w:footer="720" w:gutter="0"/>
      <w:cols w:num="2" w:space="720" w:equalWidth="0">
        <w:col w:w="3549" w:space="319"/>
        <w:col w:w="58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48"/>
    <w:rsid w:val="00020478"/>
    <w:rsid w:val="00022B75"/>
    <w:rsid w:val="001477A2"/>
    <w:rsid w:val="001B4448"/>
    <w:rsid w:val="004056E7"/>
    <w:rsid w:val="00662623"/>
    <w:rsid w:val="00772B25"/>
    <w:rsid w:val="008C276B"/>
    <w:rsid w:val="009E10EE"/>
    <w:rsid w:val="00A84745"/>
    <w:rsid w:val="00BF6C94"/>
    <w:rsid w:val="00C60CF9"/>
    <w:rsid w:val="00C96187"/>
    <w:rsid w:val="00CF29C2"/>
    <w:rsid w:val="00CF7CD5"/>
    <w:rsid w:val="00D00CDE"/>
    <w:rsid w:val="00D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1B37B2-F56D-44E5-B0AE-3C18E2A3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20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Bowen, Michon L</dc:creator>
  <cp:lastModifiedBy>Bowen, Michon L.</cp:lastModifiedBy>
  <cp:revision>4</cp:revision>
  <dcterms:created xsi:type="dcterms:W3CDTF">2018-06-04T14:59:00Z</dcterms:created>
  <dcterms:modified xsi:type="dcterms:W3CDTF">2018-06-04T17:59:00Z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2018-05-30T00:00:00Z</vt:filetime>
  </property>
</Properties>
</file>